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EC" w:rsidRPr="00EC18EC" w:rsidRDefault="00EC18EC" w:rsidP="00303E14">
      <w:pPr>
        <w:jc w:val="center"/>
        <w:rPr>
          <w:rFonts w:ascii="Courier New" w:hAnsi="Courier New"/>
        </w:rPr>
      </w:pPr>
      <w:r>
        <w:rPr>
          <w:rFonts w:ascii="Courier New" w:hAnsi="Courier New"/>
        </w:rPr>
        <w:t>Case Brief – Christine Graham</w:t>
      </w:r>
    </w:p>
    <w:p w:rsidR="00303E14" w:rsidRPr="00303E14" w:rsidRDefault="00017C37" w:rsidP="00303E14">
      <w:pPr>
        <w:jc w:val="center"/>
        <w:rPr>
          <w:rFonts w:ascii="Courier New" w:hAnsi="Courier New"/>
        </w:rPr>
      </w:pPr>
      <w:r>
        <w:rPr>
          <w:rFonts w:ascii="Courier New" w:hAnsi="Courier New"/>
          <w:u w:val="single"/>
        </w:rPr>
        <w:t>Com. v. Cotto</w:t>
      </w:r>
    </w:p>
    <w:p w:rsidR="00303E14" w:rsidRDefault="00017C37" w:rsidP="00303E14">
      <w:pPr>
        <w:jc w:val="center"/>
        <w:rPr>
          <w:rFonts w:ascii="Courier New" w:hAnsi="Courier New"/>
        </w:rPr>
      </w:pPr>
      <w:r>
        <w:rPr>
          <w:rFonts w:ascii="Courier New" w:hAnsi="Courier New"/>
        </w:rPr>
        <w:t>752 N.E. 2d</w:t>
      </w:r>
      <w:r w:rsidR="00B03639">
        <w:rPr>
          <w:rFonts w:ascii="Courier New" w:hAnsi="Courier New"/>
        </w:rPr>
        <w:t xml:space="preserve"> 768</w:t>
      </w:r>
      <w:r>
        <w:rPr>
          <w:rFonts w:ascii="Courier New" w:hAnsi="Courier New"/>
        </w:rPr>
        <w:t>, 52 Mass. App. Ct. 225</w:t>
      </w:r>
    </w:p>
    <w:p w:rsidR="00303E14" w:rsidRDefault="00303E14" w:rsidP="00303E14">
      <w:pPr>
        <w:jc w:val="center"/>
        <w:rPr>
          <w:rFonts w:ascii="Courier New" w:hAnsi="Courier New"/>
        </w:rPr>
      </w:pPr>
    </w:p>
    <w:p w:rsidR="005E27B0" w:rsidRDefault="009F2154" w:rsidP="00303E14">
      <w:pPr>
        <w:rPr>
          <w:rFonts w:ascii="Courier New" w:hAnsi="Courier New"/>
        </w:rPr>
      </w:pPr>
      <w:r w:rsidRPr="009F2154">
        <w:rPr>
          <w:rFonts w:ascii="Courier New" w:hAnsi="Courier New"/>
          <w:b/>
        </w:rPr>
        <w:t>Facts:</w:t>
      </w:r>
      <w:r w:rsidR="00C636F2">
        <w:rPr>
          <w:rFonts w:ascii="Courier New" w:hAnsi="Courier New"/>
        </w:rPr>
        <w:t xml:space="preserve">  </w:t>
      </w:r>
      <w:r w:rsidR="009D286B">
        <w:rPr>
          <w:rFonts w:ascii="Courier New" w:hAnsi="Courier New"/>
        </w:rPr>
        <w:t xml:space="preserve">There was an ongoing feud between the defendant’s family and Francisco Martinez. </w:t>
      </w:r>
      <w:r w:rsidR="00625021">
        <w:rPr>
          <w:rFonts w:ascii="Courier New" w:hAnsi="Courier New"/>
        </w:rPr>
        <w:t xml:space="preserve">William Cotto’s brother Garribel Bautista was brutally killed by Francisco Martinez and found dead on January 3,1997. </w:t>
      </w:r>
      <w:r w:rsidR="009B392A">
        <w:rPr>
          <w:rFonts w:ascii="Courier New" w:hAnsi="Courier New"/>
        </w:rPr>
        <w:t xml:space="preserve">Hours later in retaliation, Cotto set fire to Martinez’s apartment. Shirley Suarez, Martinez’s </w:t>
      </w:r>
      <w:r w:rsidR="00306182">
        <w:rPr>
          <w:rFonts w:ascii="Courier New" w:hAnsi="Courier New"/>
        </w:rPr>
        <w:t>friend</w:t>
      </w:r>
      <w:r w:rsidR="009B392A">
        <w:rPr>
          <w:rFonts w:ascii="Courier New" w:hAnsi="Courier New"/>
        </w:rPr>
        <w:t xml:space="preserve"> was at Martinez’s apartment when she heard glass break and upon her investigating the source of the noise, saw a white plastic bottle that had set fire to the apartment. </w:t>
      </w:r>
      <w:r w:rsidR="001606F1">
        <w:rPr>
          <w:rFonts w:ascii="Courier New" w:hAnsi="Courier New"/>
        </w:rPr>
        <w:t xml:space="preserve">Shirley </w:t>
      </w:r>
      <w:r w:rsidR="00EE21E0">
        <w:rPr>
          <w:rFonts w:ascii="Courier New" w:hAnsi="Courier New"/>
        </w:rPr>
        <w:t>had recognized the defendant amongst the two other vandals</w:t>
      </w:r>
      <w:r w:rsidR="0049183E">
        <w:rPr>
          <w:rFonts w:ascii="Courier New" w:hAnsi="Courier New"/>
        </w:rPr>
        <w:t>,</w:t>
      </w:r>
      <w:r w:rsidR="00EE21E0">
        <w:rPr>
          <w:rFonts w:ascii="Courier New" w:hAnsi="Courier New"/>
        </w:rPr>
        <w:t xml:space="preserve"> when she had ran to the back door. </w:t>
      </w:r>
      <w:r w:rsidR="005E27B0">
        <w:rPr>
          <w:rFonts w:ascii="Courier New" w:hAnsi="Courier New"/>
        </w:rPr>
        <w:t>Cotto’s arson created a lot of damage.</w:t>
      </w:r>
    </w:p>
    <w:p w:rsidR="00303E14" w:rsidRDefault="005E27B0" w:rsidP="00303E14">
      <w:pPr>
        <w:rPr>
          <w:rFonts w:ascii="Courier New" w:hAnsi="Courier New"/>
        </w:rPr>
      </w:pPr>
      <w:r>
        <w:rPr>
          <w:rFonts w:ascii="Courier New" w:hAnsi="Courier New"/>
        </w:rPr>
        <w:t>One week later Cotto kidnapped Martinez’</w:t>
      </w:r>
      <w:r w:rsidR="003B2B34">
        <w:rPr>
          <w:rFonts w:ascii="Courier New" w:hAnsi="Courier New"/>
        </w:rPr>
        <w:t>s girlfriend, Nilsa Wong</w:t>
      </w:r>
      <w:r w:rsidR="00C82E39">
        <w:rPr>
          <w:rFonts w:ascii="Courier New" w:hAnsi="Courier New"/>
        </w:rPr>
        <w:t>. He</w:t>
      </w:r>
      <w:r w:rsidR="003B2B34">
        <w:rPr>
          <w:rFonts w:ascii="Courier New" w:hAnsi="Courier New"/>
        </w:rPr>
        <w:t xml:space="preserve"> threatened her with a baseball bat</w:t>
      </w:r>
      <w:r w:rsidR="00C82E39">
        <w:rPr>
          <w:rFonts w:ascii="Courier New" w:hAnsi="Courier New"/>
        </w:rPr>
        <w:t>, stating that he should beat her to leave Martinez a message. He then admitted to</w:t>
      </w:r>
      <w:r w:rsidR="00070EB4">
        <w:rPr>
          <w:rFonts w:ascii="Courier New" w:hAnsi="Courier New"/>
        </w:rPr>
        <w:t xml:space="preserve"> her of his</w:t>
      </w:r>
      <w:r w:rsidR="00C82E39">
        <w:rPr>
          <w:rFonts w:ascii="Courier New" w:hAnsi="Courier New"/>
        </w:rPr>
        <w:t xml:space="preserve"> arson of Martinez’s </w:t>
      </w:r>
      <w:r w:rsidR="00F12824">
        <w:rPr>
          <w:rFonts w:ascii="Courier New" w:hAnsi="Courier New"/>
        </w:rPr>
        <w:t>apartment</w:t>
      </w:r>
      <w:r w:rsidR="00C82E39">
        <w:rPr>
          <w:rFonts w:ascii="Courier New" w:hAnsi="Courier New"/>
        </w:rPr>
        <w:t xml:space="preserve">. </w:t>
      </w:r>
    </w:p>
    <w:p w:rsidR="00303E14" w:rsidRPr="00220963" w:rsidRDefault="00135252" w:rsidP="00303E14">
      <w:pPr>
        <w:rPr>
          <w:rFonts w:ascii="Courier New" w:hAnsi="Courier New"/>
        </w:rPr>
      </w:pPr>
      <w:r w:rsidRPr="009F2154">
        <w:rPr>
          <w:rFonts w:ascii="Courier New" w:hAnsi="Courier New"/>
          <w:b/>
        </w:rPr>
        <w:t>Procedural History:</w:t>
      </w:r>
      <w:r>
        <w:rPr>
          <w:rFonts w:ascii="Courier New" w:hAnsi="Courier New"/>
          <w:b/>
        </w:rPr>
        <w:t xml:space="preserve">  </w:t>
      </w:r>
      <w:r w:rsidR="00220963" w:rsidRPr="00220963">
        <w:rPr>
          <w:rFonts w:ascii="Courier New" w:hAnsi="Courier New"/>
        </w:rPr>
        <w:t>The case started at the Superior Court Department, Suffolk County</w:t>
      </w:r>
      <w:r w:rsidR="009231A1">
        <w:rPr>
          <w:rFonts w:ascii="Courier New" w:hAnsi="Courier New"/>
        </w:rPr>
        <w:t xml:space="preserve"> for charges of assault with intent to murder, breaking and entering in nighttime with intent to commit murder, arson, assault with a dangerous weapon, and kidnapping. The defendant appealed to the Appeals </w:t>
      </w:r>
      <w:r w:rsidR="00912BCD">
        <w:rPr>
          <w:rFonts w:ascii="Courier New" w:hAnsi="Courier New"/>
        </w:rPr>
        <w:t xml:space="preserve">Court of Massachusetts, Suffolk, claiming </w:t>
      </w:r>
      <w:r w:rsidR="00287194">
        <w:rPr>
          <w:rFonts w:ascii="Courier New" w:hAnsi="Courier New"/>
        </w:rPr>
        <w:t xml:space="preserve">the </w:t>
      </w:r>
      <w:r w:rsidR="00912BCD">
        <w:rPr>
          <w:rFonts w:ascii="Courier New" w:hAnsi="Courier New"/>
        </w:rPr>
        <w:t>judge provided jury erroneous instructions on the breaking and entering count and abused his discretion by joining two sets of indictments for trial.</w:t>
      </w:r>
    </w:p>
    <w:p w:rsidR="00303E14" w:rsidRPr="00F51993" w:rsidRDefault="00303E14" w:rsidP="00303E14">
      <w:pPr>
        <w:rPr>
          <w:rFonts w:ascii="Courier New" w:hAnsi="Courier New"/>
        </w:rPr>
      </w:pPr>
      <w:r w:rsidRPr="009F2154">
        <w:rPr>
          <w:rFonts w:ascii="Courier New" w:hAnsi="Courier New"/>
          <w:b/>
        </w:rPr>
        <w:t>Issue:</w:t>
      </w:r>
      <w:r w:rsidR="00C779F2">
        <w:rPr>
          <w:rFonts w:ascii="Courier New" w:hAnsi="Courier New"/>
          <w:b/>
        </w:rPr>
        <w:t xml:space="preserve"> </w:t>
      </w:r>
      <w:r w:rsidR="005F6F72">
        <w:rPr>
          <w:rFonts w:ascii="Courier New" w:hAnsi="Courier New"/>
          <w:b/>
        </w:rPr>
        <w:t xml:space="preserve"> </w:t>
      </w:r>
      <w:r w:rsidR="00F51993">
        <w:rPr>
          <w:rFonts w:ascii="Courier New" w:hAnsi="Courier New"/>
        </w:rPr>
        <w:t>Did the judge err in instructing the jury on breaking and entering</w:t>
      </w:r>
      <w:r w:rsidR="009C171E">
        <w:rPr>
          <w:rFonts w:ascii="Courier New" w:hAnsi="Courier New"/>
        </w:rPr>
        <w:t>,</w:t>
      </w:r>
      <w:r w:rsidR="00F51993">
        <w:rPr>
          <w:rFonts w:ascii="Courier New" w:hAnsi="Courier New"/>
        </w:rPr>
        <w:t xml:space="preserve"> and abuse his discretion by joining two sets of indictments?</w:t>
      </w:r>
    </w:p>
    <w:p w:rsidR="00E20EE6" w:rsidRDefault="00303E14" w:rsidP="00303E14">
      <w:pPr>
        <w:rPr>
          <w:rFonts w:ascii="Courier New" w:hAnsi="Courier New"/>
        </w:rPr>
      </w:pPr>
      <w:r w:rsidRPr="009F2154">
        <w:rPr>
          <w:rFonts w:ascii="Courier New" w:hAnsi="Courier New"/>
          <w:b/>
        </w:rPr>
        <w:t>Rationale</w:t>
      </w:r>
      <w:r w:rsidR="004422F4" w:rsidRPr="009F2154">
        <w:rPr>
          <w:rFonts w:ascii="Courier New" w:hAnsi="Courier New"/>
          <w:b/>
        </w:rPr>
        <w:t>:</w:t>
      </w:r>
      <w:r w:rsidR="004422F4">
        <w:rPr>
          <w:rFonts w:ascii="Courier New" w:hAnsi="Courier New"/>
          <w:b/>
        </w:rPr>
        <w:t xml:space="preserve"> </w:t>
      </w:r>
      <w:r w:rsidR="004422F4" w:rsidRPr="004422F4">
        <w:rPr>
          <w:rFonts w:ascii="Courier New" w:hAnsi="Courier New"/>
        </w:rPr>
        <w:t>Justice Kantrowitz of The Appeals Court of MA addresses the defendant’s first claim of error by the trial judge</w:t>
      </w:r>
      <w:r w:rsidR="00CA55A0" w:rsidRPr="004422F4">
        <w:rPr>
          <w:rFonts w:ascii="Courier New" w:hAnsi="Courier New"/>
        </w:rPr>
        <w:t>.</w:t>
      </w:r>
      <w:r w:rsidR="00CA55A0">
        <w:rPr>
          <w:rFonts w:ascii="Courier New" w:hAnsi="Courier New"/>
        </w:rPr>
        <w:t xml:space="preserve"> Justice Kantrowitz</w:t>
      </w:r>
      <w:r w:rsidR="002D604E">
        <w:rPr>
          <w:rFonts w:ascii="Courier New" w:hAnsi="Courier New"/>
        </w:rPr>
        <w:t xml:space="preserve"> quoted the trial judges statement to the jury as; “An entry is the unlawful making of one’s way into a dwelling house of another. Entry occurs if any part of the defendant’s body, even a hand or foot or any instrument or weapon controlled by the defendant, physically enters the dwelling house.” </w:t>
      </w:r>
      <w:r w:rsidR="000806FC">
        <w:rPr>
          <w:rFonts w:ascii="Courier New" w:hAnsi="Courier New"/>
        </w:rPr>
        <w:t>Justice</w:t>
      </w:r>
      <w:r w:rsidR="00BF6CF8">
        <w:rPr>
          <w:rFonts w:ascii="Courier New" w:hAnsi="Courier New"/>
        </w:rPr>
        <w:t xml:space="preserve"> Kantrowitz then pointed out that the trial judge left out, “... in the unusual facts of this case, entry can be found only where the instrument that entered is intended for use in the commission of the felony within.”</w:t>
      </w:r>
      <w:r w:rsidR="000806FC">
        <w:rPr>
          <w:rFonts w:ascii="Courier New" w:hAnsi="Courier New"/>
        </w:rPr>
        <w:t xml:space="preserve"> </w:t>
      </w:r>
      <w:r w:rsidR="00524B30">
        <w:rPr>
          <w:rFonts w:ascii="Courier New" w:hAnsi="Courier New"/>
        </w:rPr>
        <w:t xml:space="preserve">He then assured that the error was harmless. </w:t>
      </w:r>
      <w:r w:rsidR="00DA6C70">
        <w:rPr>
          <w:rFonts w:ascii="Courier New" w:hAnsi="Courier New"/>
          <w:u w:val="single"/>
        </w:rPr>
        <w:t>Com. v. Gagnon</w:t>
      </w:r>
      <w:r w:rsidR="00DA6C70">
        <w:rPr>
          <w:rFonts w:ascii="Courier New" w:hAnsi="Courier New"/>
        </w:rPr>
        <w:t xml:space="preserve">, </w:t>
      </w:r>
      <w:r w:rsidR="0050718B">
        <w:rPr>
          <w:rFonts w:ascii="Courier New" w:hAnsi="Courier New"/>
        </w:rPr>
        <w:t xml:space="preserve">718 </w:t>
      </w:r>
      <w:r w:rsidR="00DA6C70">
        <w:rPr>
          <w:rFonts w:ascii="Courier New" w:hAnsi="Courier New"/>
        </w:rPr>
        <w:t>N.E. 2d 1254 (1999)</w:t>
      </w:r>
    </w:p>
    <w:p w:rsidR="00303E14" w:rsidRPr="00DA6C70" w:rsidRDefault="00E20EE6" w:rsidP="00303E14">
      <w:pPr>
        <w:rPr>
          <w:rFonts w:ascii="Courier New" w:hAnsi="Courier New"/>
        </w:rPr>
      </w:pPr>
      <w:r>
        <w:rPr>
          <w:rFonts w:ascii="Courier New" w:hAnsi="Courier New"/>
        </w:rPr>
        <w:t xml:space="preserve">The second claim by the defendant </w:t>
      </w:r>
      <w:r w:rsidR="008D74C3">
        <w:rPr>
          <w:rFonts w:ascii="Courier New" w:hAnsi="Courier New"/>
        </w:rPr>
        <w:t xml:space="preserve">is </w:t>
      </w:r>
      <w:r>
        <w:rPr>
          <w:rFonts w:ascii="Courier New" w:hAnsi="Courier New"/>
        </w:rPr>
        <w:t xml:space="preserve">of an unfair trial from the joinder of two sets of indictments. </w:t>
      </w:r>
      <w:r w:rsidR="0050718B">
        <w:rPr>
          <w:rFonts w:ascii="Courier New" w:hAnsi="Courier New"/>
        </w:rPr>
        <w:t>These consist of 1. Of arson, breaking and entering, and assault with intent to murder</w:t>
      </w:r>
      <w:r w:rsidR="009377A9">
        <w:rPr>
          <w:rFonts w:ascii="Courier New" w:hAnsi="Courier New"/>
        </w:rPr>
        <w:t>,</w:t>
      </w:r>
      <w:r w:rsidR="0050718B">
        <w:rPr>
          <w:rFonts w:ascii="Courier New" w:hAnsi="Courier New"/>
        </w:rPr>
        <w:t xml:space="preserve"> for the indictment of January 4</w:t>
      </w:r>
      <w:r w:rsidR="004422F4">
        <w:rPr>
          <w:rFonts w:ascii="Courier New" w:hAnsi="Courier New"/>
        </w:rPr>
        <w:t>,</w:t>
      </w:r>
      <w:r w:rsidR="0050718B">
        <w:rPr>
          <w:rFonts w:ascii="Courier New" w:hAnsi="Courier New"/>
        </w:rPr>
        <w:t xml:space="preserve"> and 2. Of kidnapping and assault by means of a dangerous weapon</w:t>
      </w:r>
      <w:r w:rsidR="009377A9">
        <w:rPr>
          <w:rFonts w:ascii="Courier New" w:hAnsi="Courier New"/>
        </w:rPr>
        <w:t>,</w:t>
      </w:r>
      <w:r w:rsidR="0050718B">
        <w:rPr>
          <w:rFonts w:ascii="Courier New" w:hAnsi="Courier New"/>
        </w:rPr>
        <w:t xml:space="preserve"> for January 10. Justice Kantrowitz cites </w:t>
      </w:r>
      <w:r w:rsidR="0050718B">
        <w:rPr>
          <w:rFonts w:ascii="Courier New" w:hAnsi="Courier New"/>
          <w:u w:val="single"/>
        </w:rPr>
        <w:t>Com. v. Wilson</w:t>
      </w:r>
      <w:r w:rsidR="0050718B">
        <w:rPr>
          <w:rFonts w:ascii="Courier New" w:hAnsi="Courier New"/>
        </w:rPr>
        <w:t xml:space="preserve">, </w:t>
      </w:r>
      <w:r w:rsidR="00E26BE1">
        <w:rPr>
          <w:rFonts w:ascii="Courier New" w:hAnsi="Courier New"/>
        </w:rPr>
        <w:t>693 N.E. 2d 158 (1998)</w:t>
      </w:r>
      <w:r w:rsidR="00DE712E">
        <w:rPr>
          <w:rFonts w:ascii="Courier New" w:hAnsi="Courier New"/>
        </w:rPr>
        <w:t xml:space="preserve">, </w:t>
      </w:r>
      <w:r w:rsidR="00E26BE1">
        <w:rPr>
          <w:rFonts w:ascii="Courier New" w:hAnsi="Courier New"/>
        </w:rPr>
        <w:t>that “the trial judge shall join the charges for trial unless he determines that joinder is no</w:t>
      </w:r>
      <w:r w:rsidR="00DE712E">
        <w:rPr>
          <w:rFonts w:ascii="Courier New" w:hAnsi="Courier New"/>
        </w:rPr>
        <w:t>t</w:t>
      </w:r>
      <w:r w:rsidR="00E26BE1">
        <w:rPr>
          <w:rFonts w:ascii="Courier New" w:hAnsi="Courier New"/>
        </w:rPr>
        <w:t xml:space="preserve"> in the best interests of justice.” </w:t>
      </w:r>
      <w:r w:rsidR="001728CD">
        <w:rPr>
          <w:rFonts w:ascii="Courier New" w:hAnsi="Courier New"/>
        </w:rPr>
        <w:t xml:space="preserve">The key element in the joinder is the defendant’s motive. The January 4 arson and the January 10 kidnapping </w:t>
      </w:r>
      <w:r w:rsidR="00D22012">
        <w:rPr>
          <w:rFonts w:ascii="Courier New" w:hAnsi="Courier New"/>
        </w:rPr>
        <w:t>were</w:t>
      </w:r>
      <w:r w:rsidR="001728CD">
        <w:rPr>
          <w:rFonts w:ascii="Courier New" w:hAnsi="Courier New"/>
        </w:rPr>
        <w:t xml:space="preserve"> </w:t>
      </w:r>
      <w:r w:rsidR="00D22012">
        <w:rPr>
          <w:rFonts w:ascii="Courier New" w:hAnsi="Courier New"/>
        </w:rPr>
        <w:t xml:space="preserve">to </w:t>
      </w:r>
      <w:r w:rsidR="001728CD">
        <w:rPr>
          <w:rFonts w:ascii="Courier New" w:hAnsi="Courier New"/>
        </w:rPr>
        <w:t xml:space="preserve">revenge on Martinez. </w:t>
      </w:r>
      <w:r w:rsidR="00771D5E">
        <w:rPr>
          <w:rFonts w:ascii="Courier New" w:hAnsi="Courier New"/>
        </w:rPr>
        <w:t xml:space="preserve">Cotto admits this to be so when </w:t>
      </w:r>
      <w:r w:rsidR="00E947F9">
        <w:rPr>
          <w:rFonts w:ascii="Courier New" w:hAnsi="Courier New"/>
        </w:rPr>
        <w:t xml:space="preserve">he had confessed it </w:t>
      </w:r>
      <w:r w:rsidR="00771D5E">
        <w:rPr>
          <w:rFonts w:ascii="Courier New" w:hAnsi="Courier New"/>
        </w:rPr>
        <w:t>to Martinez’s girlfriend Nilsa Wong.</w:t>
      </w:r>
      <w:r w:rsidR="00982BCE">
        <w:rPr>
          <w:rFonts w:ascii="Courier New" w:hAnsi="Courier New"/>
        </w:rPr>
        <w:t xml:space="preserve"> </w:t>
      </w:r>
    </w:p>
    <w:p w:rsidR="00303E14" w:rsidRPr="00E21AC3" w:rsidRDefault="00303E14" w:rsidP="00303E14">
      <w:pPr>
        <w:rPr>
          <w:rFonts w:ascii="Courier New" w:hAnsi="Courier New"/>
        </w:rPr>
      </w:pPr>
      <w:r w:rsidRPr="009F2154">
        <w:rPr>
          <w:rFonts w:ascii="Courier New" w:hAnsi="Courier New"/>
          <w:b/>
        </w:rPr>
        <w:t>Holding:</w:t>
      </w:r>
      <w:r w:rsidR="00F43C58">
        <w:rPr>
          <w:rFonts w:ascii="Courier New" w:hAnsi="Courier New"/>
          <w:b/>
        </w:rPr>
        <w:t xml:space="preserve">  </w:t>
      </w:r>
      <w:r w:rsidR="00E21AC3">
        <w:rPr>
          <w:rFonts w:ascii="Courier New" w:hAnsi="Courier New"/>
        </w:rPr>
        <w:t>No, the judge did not err in instructing the jury on breaking and entering nor did he abuse his discretion by joining two sets of indictments.</w:t>
      </w:r>
    </w:p>
    <w:p w:rsidR="00965B03" w:rsidRPr="00024057" w:rsidRDefault="00303E14" w:rsidP="00303E14">
      <w:pPr>
        <w:rPr>
          <w:rFonts w:ascii="Courier New" w:hAnsi="Courier New"/>
        </w:rPr>
      </w:pPr>
      <w:r w:rsidRPr="009F2154">
        <w:rPr>
          <w:rFonts w:ascii="Courier New" w:hAnsi="Courier New"/>
          <w:b/>
        </w:rPr>
        <w:t>Disposition:</w:t>
      </w:r>
      <w:r w:rsidR="004E521E">
        <w:rPr>
          <w:rFonts w:ascii="Courier New" w:hAnsi="Courier New"/>
          <w:b/>
        </w:rPr>
        <w:t xml:space="preserve">  </w:t>
      </w:r>
      <w:r w:rsidR="00024057">
        <w:rPr>
          <w:rFonts w:ascii="Courier New" w:hAnsi="Courier New"/>
        </w:rPr>
        <w:t>The Appeals Court of Massachusetts affirms trial court decisions</w:t>
      </w:r>
    </w:p>
    <w:sectPr w:rsidR="00965B03" w:rsidRPr="00024057" w:rsidSect="00965B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E14"/>
    <w:rsid w:val="00017C37"/>
    <w:rsid w:val="00024057"/>
    <w:rsid w:val="00056C7A"/>
    <w:rsid w:val="0007004F"/>
    <w:rsid w:val="00070EB4"/>
    <w:rsid w:val="000806FC"/>
    <w:rsid w:val="00093DF4"/>
    <w:rsid w:val="000A0219"/>
    <w:rsid w:val="000C27E2"/>
    <w:rsid w:val="000C7968"/>
    <w:rsid w:val="00135252"/>
    <w:rsid w:val="00137F3E"/>
    <w:rsid w:val="00144BB4"/>
    <w:rsid w:val="00155F03"/>
    <w:rsid w:val="001606F1"/>
    <w:rsid w:val="001728CD"/>
    <w:rsid w:val="00196D61"/>
    <w:rsid w:val="001C502A"/>
    <w:rsid w:val="002044F9"/>
    <w:rsid w:val="00220963"/>
    <w:rsid w:val="00287194"/>
    <w:rsid w:val="002C1AD4"/>
    <w:rsid w:val="002C233C"/>
    <w:rsid w:val="002D604E"/>
    <w:rsid w:val="00303E14"/>
    <w:rsid w:val="00306182"/>
    <w:rsid w:val="003554FE"/>
    <w:rsid w:val="00370295"/>
    <w:rsid w:val="003B2B34"/>
    <w:rsid w:val="00404F03"/>
    <w:rsid w:val="004310A0"/>
    <w:rsid w:val="004422F4"/>
    <w:rsid w:val="0049183E"/>
    <w:rsid w:val="004A13F4"/>
    <w:rsid w:val="004A2B61"/>
    <w:rsid w:val="004E521E"/>
    <w:rsid w:val="0050718B"/>
    <w:rsid w:val="00524B30"/>
    <w:rsid w:val="005622A0"/>
    <w:rsid w:val="005B2EBD"/>
    <w:rsid w:val="005B6CC3"/>
    <w:rsid w:val="005E27B0"/>
    <w:rsid w:val="005F11E5"/>
    <w:rsid w:val="005F6F72"/>
    <w:rsid w:val="00625021"/>
    <w:rsid w:val="00742665"/>
    <w:rsid w:val="00771D5E"/>
    <w:rsid w:val="00780C3B"/>
    <w:rsid w:val="007820A3"/>
    <w:rsid w:val="007A2995"/>
    <w:rsid w:val="007C0D58"/>
    <w:rsid w:val="007E53FB"/>
    <w:rsid w:val="00861216"/>
    <w:rsid w:val="0086711D"/>
    <w:rsid w:val="00885267"/>
    <w:rsid w:val="00890FD9"/>
    <w:rsid w:val="008C2670"/>
    <w:rsid w:val="008C5B03"/>
    <w:rsid w:val="008C714F"/>
    <w:rsid w:val="008D1DD6"/>
    <w:rsid w:val="008D74C3"/>
    <w:rsid w:val="008F475C"/>
    <w:rsid w:val="00903836"/>
    <w:rsid w:val="00912BCD"/>
    <w:rsid w:val="009231A1"/>
    <w:rsid w:val="009377A9"/>
    <w:rsid w:val="00965B03"/>
    <w:rsid w:val="00982BCE"/>
    <w:rsid w:val="00997DDA"/>
    <w:rsid w:val="009A44E9"/>
    <w:rsid w:val="009B392A"/>
    <w:rsid w:val="009C171E"/>
    <w:rsid w:val="009C7AB2"/>
    <w:rsid w:val="009D286B"/>
    <w:rsid w:val="009D2E8D"/>
    <w:rsid w:val="009E1D87"/>
    <w:rsid w:val="009F2154"/>
    <w:rsid w:val="00A06E4E"/>
    <w:rsid w:val="00A8563E"/>
    <w:rsid w:val="00AD20FE"/>
    <w:rsid w:val="00B03639"/>
    <w:rsid w:val="00B46D9B"/>
    <w:rsid w:val="00B62E56"/>
    <w:rsid w:val="00B8473F"/>
    <w:rsid w:val="00BE7ADA"/>
    <w:rsid w:val="00BF6CF8"/>
    <w:rsid w:val="00C1227C"/>
    <w:rsid w:val="00C12F71"/>
    <w:rsid w:val="00C636F2"/>
    <w:rsid w:val="00C779F2"/>
    <w:rsid w:val="00C82E39"/>
    <w:rsid w:val="00CA55A0"/>
    <w:rsid w:val="00CC516A"/>
    <w:rsid w:val="00D033F0"/>
    <w:rsid w:val="00D22012"/>
    <w:rsid w:val="00D36255"/>
    <w:rsid w:val="00D43E0D"/>
    <w:rsid w:val="00D671AE"/>
    <w:rsid w:val="00DA5FEB"/>
    <w:rsid w:val="00DA6C70"/>
    <w:rsid w:val="00DD372B"/>
    <w:rsid w:val="00DE712E"/>
    <w:rsid w:val="00E0395E"/>
    <w:rsid w:val="00E20EE6"/>
    <w:rsid w:val="00E21AC3"/>
    <w:rsid w:val="00E26BE1"/>
    <w:rsid w:val="00E37E1B"/>
    <w:rsid w:val="00E53989"/>
    <w:rsid w:val="00E947F9"/>
    <w:rsid w:val="00EC18EC"/>
    <w:rsid w:val="00EE21E0"/>
    <w:rsid w:val="00EE419B"/>
    <w:rsid w:val="00F12824"/>
    <w:rsid w:val="00F12F6E"/>
    <w:rsid w:val="00F43BBD"/>
    <w:rsid w:val="00F43C58"/>
    <w:rsid w:val="00F51993"/>
    <w:rsid w:val="00F607A1"/>
    <w:rsid w:val="00F61C3F"/>
    <w:rsid w:val="00F90CB7"/>
    <w:rsid w:val="00FD72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03E14"/>
    <w:pPr>
      <w:tabs>
        <w:tab w:val="center" w:pos="4320"/>
        <w:tab w:val="right" w:pos="8640"/>
      </w:tabs>
      <w:spacing w:after="0"/>
    </w:pPr>
  </w:style>
  <w:style w:type="character" w:customStyle="1" w:styleId="HeaderChar">
    <w:name w:val="Header Char"/>
    <w:basedOn w:val="DefaultParagraphFont"/>
    <w:link w:val="Header"/>
    <w:uiPriority w:val="99"/>
    <w:semiHidden/>
    <w:rsid w:val="00303E14"/>
  </w:style>
  <w:style w:type="paragraph" w:styleId="Footer">
    <w:name w:val="footer"/>
    <w:basedOn w:val="Normal"/>
    <w:link w:val="FooterChar"/>
    <w:uiPriority w:val="99"/>
    <w:semiHidden/>
    <w:unhideWhenUsed/>
    <w:rsid w:val="00303E14"/>
    <w:pPr>
      <w:tabs>
        <w:tab w:val="center" w:pos="4320"/>
        <w:tab w:val="right" w:pos="8640"/>
      </w:tabs>
      <w:spacing w:after="0"/>
    </w:pPr>
  </w:style>
  <w:style w:type="character" w:customStyle="1" w:styleId="FooterChar">
    <w:name w:val="Footer Char"/>
    <w:basedOn w:val="DefaultParagraphFont"/>
    <w:link w:val="Footer"/>
    <w:uiPriority w:val="99"/>
    <w:semiHidden/>
    <w:rsid w:val="00303E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308</Words>
  <Characters>1761</Characters>
  <Application>Microsoft Macintosh Word</Application>
  <DocSecurity>0</DocSecurity>
  <Lines>14</Lines>
  <Paragraphs>3</Paragraphs>
  <ScaleCrop>false</ScaleCrop>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graham</dc:creator>
  <cp:keywords/>
  <cp:lastModifiedBy>christine graham</cp:lastModifiedBy>
  <cp:revision>45</cp:revision>
  <dcterms:created xsi:type="dcterms:W3CDTF">2014-03-31T14:52:00Z</dcterms:created>
  <dcterms:modified xsi:type="dcterms:W3CDTF">2014-03-31T23:46:00Z</dcterms:modified>
</cp:coreProperties>
</file>