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669881"/>
        <w:docPartObj>
          <w:docPartGallery w:val="Cover Pages"/>
          <w:docPartUnique/>
        </w:docPartObj>
      </w:sdtPr>
      <w:sdtEndPr>
        <w:rPr>
          <w:rFonts w:ascii="Courier New" w:hAnsi="Courier New"/>
        </w:rPr>
      </w:sdtEndPr>
      <w:sdtContent>
        <w:p w:rsidR="003571F3" w:rsidRDefault="003571F3">
          <w:r>
            <w:rPr>
              <w:noProof/>
            </w:rPr>
            <w:drawing>
              <wp:anchor distT="0" distB="0" distL="118745" distR="118745" simplePos="0" relativeHeight="251666432" behindDoc="1" locked="0" layoutInCell="1" allowOverlap="1">
                <wp:simplePos x="0" y="0"/>
                <wp:positionH relativeFrom="page">
                  <wp:posOffset>5715</wp:posOffset>
                </wp:positionH>
                <wp:positionV relativeFrom="page">
                  <wp:posOffset>-132080</wp:posOffset>
                </wp:positionV>
                <wp:extent cx="7766685" cy="10353040"/>
                <wp:effectExtent l="25400" t="0" r="5715" b="0"/>
                <wp:wrapNone/>
                <wp:docPr id="4" name=""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6"/>
                        <a:stretch>
                          <a:fillRect/>
                        </a:stretch>
                      </pic:blipFill>
                      <pic:spPr>
                        <a:xfrm>
                          <a:off x="0" y="0"/>
                          <a:ext cx="7766685" cy="10353040"/>
                        </a:xfrm>
                        <a:prstGeom prst="rect">
                          <a:avLst/>
                        </a:prstGeom>
                        <a:gradFill flip="none" rotWithShape="1">
                          <a:gsLst>
                            <a:gs pos="0">
                              <a:schemeClr val="bg1"/>
                            </a:gs>
                            <a:gs pos="100000">
                              <a:schemeClr val="accent2">
                                <a:lumMod val="60000"/>
                                <a:lumOff val="40000"/>
                              </a:schemeClr>
                            </a:gs>
                          </a:gsLst>
                          <a:path path="circle">
                            <a:fillToRect l="50000" t="50000" r="50000" b="50000"/>
                          </a:path>
                          <a:tileRect/>
                        </a:gradFill>
                      </pic:spPr>
                    </pic:pic>
                  </a:graphicData>
                </a:graphic>
              </wp:anchor>
            </w:drawing>
          </w:r>
        </w:p>
        <w:p w:rsidR="003545ED" w:rsidRDefault="003545ED" w:rsidP="003545ED">
          <w:pPr>
            <w:spacing w:line="480" w:lineRule="auto"/>
            <w:jc w:val="center"/>
            <w:rPr>
              <w:rFonts w:ascii="Courier New" w:hAnsi="Courier New"/>
            </w:rPr>
          </w:pPr>
          <w:r w:rsidRPr="00193FC0">
            <w:rPr>
              <w:rFonts w:ascii="Courier New" w:hAnsi="Courier New"/>
            </w:rPr>
            <w:t>MASSACHUSETTS APPEALS COURT</w:t>
          </w:r>
          <w:r>
            <w:rPr>
              <w:rFonts w:ascii="Courier New" w:hAnsi="Courier New"/>
            </w:rPr>
            <w:br/>
            <w:t>No. 2013-P-4321</w:t>
          </w:r>
        </w:p>
        <w:p w:rsidR="003571F3" w:rsidRDefault="001B7448" w:rsidP="00731658">
          <w:pPr>
            <w:spacing w:line="480" w:lineRule="auto"/>
            <w:jc w:val="center"/>
            <w:rPr>
              <w:rFonts w:ascii="Courier New" w:hAnsi="Courier New"/>
            </w:rPr>
          </w:pPr>
          <w:r w:rsidRPr="001B7448">
            <w:rPr>
              <w:rFonts w:ascii="Courier New" w:hAnsi="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6pt;height:1.6pt" o:hrpct="0" o:hralign="center" o:hr="t">
                <v:imagedata r:id="rId7" o:title="Default Line"/>
              </v:shape>
            </w:pict>
          </w:r>
        </w:p>
        <w:p w:rsidR="003545ED" w:rsidRDefault="003545ED" w:rsidP="003545ED">
          <w:pPr>
            <w:spacing w:line="480" w:lineRule="auto"/>
            <w:jc w:val="center"/>
            <w:rPr>
              <w:rFonts w:ascii="Courier New" w:hAnsi="Courier New"/>
            </w:rPr>
          </w:pPr>
          <w:r>
            <w:rPr>
              <w:rFonts w:ascii="Courier New" w:hAnsi="Courier New"/>
            </w:rPr>
            <w:t>Bob Dylan</w:t>
          </w:r>
          <w:r>
            <w:rPr>
              <w:rFonts w:ascii="Courier New" w:hAnsi="Courier New"/>
            </w:rPr>
            <w:br/>
            <w:t>Plaintiff-Appellant</w:t>
          </w:r>
        </w:p>
        <w:p w:rsidR="003545ED" w:rsidRDefault="003545ED" w:rsidP="003545ED">
          <w:pPr>
            <w:spacing w:line="480" w:lineRule="auto"/>
            <w:jc w:val="center"/>
            <w:rPr>
              <w:rFonts w:ascii="Courier New" w:hAnsi="Courier New"/>
            </w:rPr>
          </w:pPr>
          <w:r>
            <w:rPr>
              <w:rFonts w:ascii="Courier New" w:hAnsi="Courier New"/>
            </w:rPr>
            <w:t>v.</w:t>
          </w:r>
        </w:p>
        <w:p w:rsidR="003545ED" w:rsidRDefault="003545ED" w:rsidP="003545ED">
          <w:pPr>
            <w:spacing w:line="480" w:lineRule="auto"/>
            <w:jc w:val="center"/>
            <w:rPr>
              <w:rFonts w:ascii="Courier New" w:hAnsi="Courier New"/>
            </w:rPr>
          </w:pPr>
          <w:r>
            <w:rPr>
              <w:rFonts w:ascii="Courier New" w:hAnsi="Courier New"/>
            </w:rPr>
            <w:t>George Clooney</w:t>
          </w:r>
          <w:r>
            <w:rPr>
              <w:rFonts w:ascii="Courier New" w:hAnsi="Courier New"/>
            </w:rPr>
            <w:br/>
            <w:t>Defendant-Appellee</w:t>
          </w:r>
        </w:p>
        <w:p w:rsidR="003571F3" w:rsidRDefault="001B7448" w:rsidP="00731658">
          <w:pPr>
            <w:spacing w:line="480" w:lineRule="auto"/>
            <w:jc w:val="center"/>
            <w:rPr>
              <w:rFonts w:ascii="Courier New" w:hAnsi="Courier New"/>
            </w:rPr>
          </w:pPr>
          <w:r w:rsidRPr="001B7448">
            <w:rPr>
              <w:rFonts w:ascii="Courier New" w:hAnsi="Courier New"/>
            </w:rPr>
            <w:pict>
              <v:shape id="_x0000_i1026" type="#_x0000_t75" style="width:365.6pt;height:1.6pt" o:hrpct="0" o:hralign="center" o:hr="t">
                <v:imagedata r:id="rId8" o:title="Default Line"/>
              </v:shape>
            </w:pict>
          </w:r>
        </w:p>
        <w:p w:rsidR="003545ED" w:rsidRDefault="003545ED" w:rsidP="003545ED">
          <w:pPr>
            <w:spacing w:line="480" w:lineRule="auto"/>
            <w:jc w:val="center"/>
            <w:rPr>
              <w:rFonts w:ascii="Courier New" w:hAnsi="Courier New"/>
            </w:rPr>
          </w:pPr>
          <w:r>
            <w:rPr>
              <w:rFonts w:ascii="Courier New" w:hAnsi="Courier New"/>
            </w:rPr>
            <w:t xml:space="preserve">ON APPEAL FROM A JUDGMENT OF THE </w:t>
          </w:r>
          <w:r>
            <w:rPr>
              <w:rFonts w:ascii="Courier New" w:hAnsi="Courier New"/>
            </w:rPr>
            <w:br/>
            <w:t>SUFFOLK COUNTY SUPERIOR COURT</w:t>
          </w:r>
        </w:p>
        <w:p w:rsidR="003571F3" w:rsidRDefault="001B7448" w:rsidP="00731658">
          <w:pPr>
            <w:spacing w:line="480" w:lineRule="auto"/>
            <w:jc w:val="center"/>
            <w:rPr>
              <w:rFonts w:ascii="Courier New" w:hAnsi="Courier New"/>
            </w:rPr>
          </w:pPr>
          <w:r w:rsidRPr="001B7448">
            <w:rPr>
              <w:rFonts w:ascii="Courier New" w:hAnsi="Courier New"/>
            </w:rPr>
            <w:pict>
              <v:shape id="_x0000_i1027" type="#_x0000_t75" style="width:365.6pt;height:1.6pt" o:hrpct="0" o:hralign="center" o:hr="t">
                <v:imagedata r:id="rId9" o:title="Default Line"/>
              </v:shape>
            </w:pict>
          </w:r>
        </w:p>
        <w:p w:rsidR="003545ED" w:rsidRDefault="003545ED" w:rsidP="003545ED">
          <w:pPr>
            <w:spacing w:line="480" w:lineRule="auto"/>
            <w:jc w:val="center"/>
            <w:rPr>
              <w:rFonts w:ascii="Courier New" w:hAnsi="Courier New"/>
            </w:rPr>
          </w:pPr>
          <w:r>
            <w:rPr>
              <w:rFonts w:ascii="Courier New" w:hAnsi="Courier New"/>
            </w:rPr>
            <w:t>BRIEF OF DEFENDANT-APPELLEE,</w:t>
          </w:r>
          <w:r>
            <w:rPr>
              <w:rFonts w:ascii="Courier New" w:hAnsi="Courier New"/>
            </w:rPr>
            <w:br/>
            <w:t>GEORGE CLOONEY</w:t>
          </w:r>
        </w:p>
        <w:p w:rsidR="003571F3" w:rsidRDefault="001B7448" w:rsidP="00206913">
          <w:pPr>
            <w:tabs>
              <w:tab w:val="left" w:pos="720"/>
            </w:tabs>
            <w:spacing w:line="480" w:lineRule="auto"/>
            <w:rPr>
              <w:rFonts w:ascii="Courier New" w:hAnsi="Courier New"/>
            </w:rPr>
          </w:pPr>
          <w:r w:rsidRPr="001B7448">
            <w:rPr>
              <w:rFonts w:ascii="Courier New" w:hAnsi="Courier New"/>
            </w:rPr>
            <w:pict>
              <v:shape id="_x0000_i1028" type="#_x0000_t75" style="width:365.6pt;height:1.6pt" o:hrpct="0" o:hralign="center" o:hr="t">
                <v:imagedata r:id="rId10" o:title="Default Line"/>
              </v:shape>
            </w:pict>
          </w:r>
        </w:p>
        <w:p w:rsidR="003571F3" w:rsidRDefault="003571F3" w:rsidP="003545ED">
          <w:pPr>
            <w:ind w:left="3600" w:firstLine="720"/>
            <w:rPr>
              <w:rFonts w:ascii="Courier New" w:hAnsi="Courier New"/>
            </w:rPr>
          </w:pPr>
          <w:r>
            <w:rPr>
              <w:rFonts w:ascii="Courier New" w:hAnsi="Courier New"/>
            </w:rPr>
            <w:tab/>
            <w:t>Halye Sugarman, Esq.</w:t>
          </w:r>
          <w:r>
            <w:rPr>
              <w:rFonts w:ascii="Courier New" w:hAnsi="Courier New"/>
            </w:rPr>
            <w:br/>
          </w:r>
          <w:r>
            <w:rPr>
              <w:rFonts w:ascii="Courier New" w:hAnsi="Courier New"/>
            </w:rPr>
            <w:tab/>
          </w:r>
          <w:r>
            <w:rPr>
              <w:rFonts w:ascii="Courier New" w:hAnsi="Courier New"/>
            </w:rPr>
            <w:tab/>
            <w:t>BBO No. 654321</w:t>
          </w:r>
          <w:r>
            <w:rPr>
              <w:rFonts w:ascii="Courier New" w:hAnsi="Courier New"/>
            </w:rPr>
            <w:br/>
          </w:r>
          <w:r>
            <w:rPr>
              <w:rFonts w:ascii="Courier New" w:hAnsi="Courier New"/>
            </w:rPr>
            <w:tab/>
          </w:r>
          <w:r>
            <w:rPr>
              <w:rFonts w:ascii="Courier New" w:hAnsi="Courier New"/>
            </w:rPr>
            <w:tab/>
            <w:t>123 Middlesex Way</w:t>
          </w:r>
          <w:r>
            <w:rPr>
              <w:rFonts w:ascii="Courier New" w:hAnsi="Courier New"/>
            </w:rPr>
            <w:br/>
          </w:r>
          <w:r>
            <w:rPr>
              <w:rFonts w:ascii="Courier New" w:hAnsi="Courier New"/>
            </w:rPr>
            <w:tab/>
          </w:r>
          <w:r>
            <w:rPr>
              <w:rFonts w:ascii="Courier New" w:hAnsi="Courier New"/>
            </w:rPr>
            <w:tab/>
            <w:t>Bedford, MA 01234</w:t>
          </w:r>
          <w:r>
            <w:rPr>
              <w:rFonts w:ascii="Courier New" w:hAnsi="Courier New"/>
            </w:rPr>
            <w:br/>
          </w:r>
          <w:r>
            <w:rPr>
              <w:rFonts w:ascii="Courier New" w:hAnsi="Courier New"/>
            </w:rPr>
            <w:tab/>
          </w:r>
          <w:r>
            <w:rPr>
              <w:rFonts w:ascii="Courier New" w:hAnsi="Courier New"/>
            </w:rPr>
            <w:tab/>
            <w:t>(781) 280-3200</w:t>
          </w:r>
          <w:r>
            <w:rPr>
              <w:rFonts w:ascii="Courier New" w:hAnsi="Courier New"/>
            </w:rPr>
            <w:br/>
          </w:r>
          <w:r>
            <w:rPr>
              <w:rFonts w:ascii="Courier New" w:hAnsi="Courier New"/>
            </w:rPr>
            <w:tab/>
          </w:r>
          <w:r>
            <w:rPr>
              <w:rFonts w:ascii="Courier New" w:hAnsi="Courier New"/>
            </w:rPr>
            <w:tab/>
          </w:r>
        </w:p>
        <w:p w:rsidR="003545ED" w:rsidRDefault="003545ED" w:rsidP="003545ED">
          <w:pPr>
            <w:rPr>
              <w:rFonts w:ascii="Courier New" w:hAnsi="Courier New"/>
            </w:rPr>
          </w:pPr>
          <w:r>
            <w:rPr>
              <w:rFonts w:ascii="Courier New" w:hAnsi="Courier New"/>
            </w:rPr>
            <w:tab/>
            <w:t xml:space="preserve">DATED:  May </w:t>
          </w:r>
          <w:r w:rsidR="00AE138A">
            <w:rPr>
              <w:rFonts w:ascii="Courier New" w:hAnsi="Courier New"/>
            </w:rPr>
            <w:t>7</w:t>
          </w:r>
          <w:r>
            <w:rPr>
              <w:rFonts w:ascii="Courier New" w:hAnsi="Courier New"/>
            </w:rPr>
            <w:t>, 2014</w:t>
          </w:r>
        </w:p>
        <w:p w:rsidR="003571F3" w:rsidRPr="00193FC0" w:rsidRDefault="003571F3" w:rsidP="00372EAB">
          <w:pPr>
            <w:spacing w:line="480" w:lineRule="auto"/>
            <w:ind w:left="3600"/>
            <w:rPr>
              <w:rFonts w:ascii="Courier New" w:hAnsi="Courier New"/>
            </w:rPr>
          </w:pPr>
          <w:r w:rsidRPr="00193FC0">
            <w:rPr>
              <w:rFonts w:ascii="Courier New" w:hAnsi="Courier New"/>
            </w:rPr>
            <w:br w:type="page"/>
          </w:r>
        </w:p>
      </w:sdtContent>
    </w:sdt>
    <w:p w:rsidR="003571F3" w:rsidRPr="00731658" w:rsidRDefault="003571F3" w:rsidP="00C53763">
      <w:pPr>
        <w:spacing w:line="480" w:lineRule="auto"/>
        <w:jc w:val="center"/>
        <w:outlineLvl w:val="0"/>
        <w:rPr>
          <w:rFonts w:ascii="Courier New" w:hAnsi="Courier New"/>
          <w:u w:val="single"/>
        </w:rPr>
      </w:pPr>
      <w:r w:rsidRPr="00731658">
        <w:rPr>
          <w:rFonts w:ascii="Courier New" w:hAnsi="Courier New"/>
          <w:u w:val="single"/>
        </w:rPr>
        <w:t>TABLE OF CONTENTS</w:t>
      </w:r>
    </w:p>
    <w:p w:rsidR="003571F3" w:rsidRDefault="003571F3" w:rsidP="00C53763">
      <w:pPr>
        <w:spacing w:line="480" w:lineRule="auto"/>
        <w:outlineLvl w:val="0"/>
        <w:rPr>
          <w:rFonts w:ascii="Courier New" w:hAnsi="Courier New"/>
        </w:rPr>
      </w:pPr>
      <w:r>
        <w:rPr>
          <w:rFonts w:ascii="Courier New" w:hAnsi="Courier New"/>
        </w:rPr>
        <w:t>TABLE OF AUTHORITIES . . . . . . . . . . . . . . . ii</w:t>
      </w:r>
    </w:p>
    <w:p w:rsidR="003571F3" w:rsidRPr="00CD5C49" w:rsidRDefault="003571F3" w:rsidP="00CD5C49">
      <w:pPr>
        <w:pStyle w:val="ListParagraph"/>
        <w:numPr>
          <w:ilvl w:val="0"/>
          <w:numId w:val="3"/>
        </w:numPr>
        <w:tabs>
          <w:tab w:val="left" w:pos="7344"/>
        </w:tabs>
        <w:spacing w:line="480" w:lineRule="auto"/>
        <w:outlineLvl w:val="0"/>
        <w:rPr>
          <w:rFonts w:ascii="Courier New" w:hAnsi="Courier New"/>
        </w:rPr>
      </w:pPr>
      <w:r>
        <w:rPr>
          <w:rFonts w:ascii="Courier New" w:hAnsi="Courier New"/>
        </w:rPr>
        <w:t xml:space="preserve"> CASES . . . . . . . . . . . . . . . . . .</w:t>
      </w:r>
      <w:r>
        <w:rPr>
          <w:rFonts w:ascii="Courier New" w:hAnsi="Courier New"/>
        </w:rPr>
        <w:tab/>
        <w:t>ii</w:t>
      </w:r>
    </w:p>
    <w:p w:rsidR="003571F3" w:rsidRDefault="003571F3" w:rsidP="00C53763">
      <w:pPr>
        <w:spacing w:line="480" w:lineRule="auto"/>
        <w:outlineLvl w:val="0"/>
        <w:rPr>
          <w:rFonts w:ascii="Courier New" w:hAnsi="Courier New"/>
        </w:rPr>
      </w:pPr>
      <w:r>
        <w:rPr>
          <w:rFonts w:ascii="Courier New" w:hAnsi="Courier New"/>
        </w:rPr>
        <w:t>STATEMENT OF THE ISSUES PRESENTED FOR REVIEW . . . 1</w:t>
      </w:r>
    </w:p>
    <w:p w:rsidR="003571F3" w:rsidRDefault="003571F3" w:rsidP="00731658">
      <w:pPr>
        <w:spacing w:line="480" w:lineRule="auto"/>
        <w:rPr>
          <w:rFonts w:ascii="Courier New" w:hAnsi="Courier New"/>
        </w:rPr>
      </w:pPr>
      <w:r>
        <w:rPr>
          <w:rFonts w:ascii="Courier New" w:hAnsi="Courier New"/>
        </w:rPr>
        <w:t>STATEMENT OF THE CASE . . . . . . . . . . . . . .  2</w:t>
      </w:r>
    </w:p>
    <w:p w:rsidR="003571F3" w:rsidRPr="008F369D" w:rsidRDefault="003571F3" w:rsidP="008F369D">
      <w:pPr>
        <w:pStyle w:val="ListParagraph"/>
        <w:numPr>
          <w:ilvl w:val="0"/>
          <w:numId w:val="1"/>
        </w:numPr>
        <w:spacing w:line="480" w:lineRule="auto"/>
        <w:rPr>
          <w:rFonts w:ascii="Courier New" w:hAnsi="Courier New"/>
        </w:rPr>
      </w:pPr>
      <w:r w:rsidRPr="008F369D">
        <w:rPr>
          <w:rFonts w:ascii="Courier New" w:hAnsi="Courier New"/>
        </w:rPr>
        <w:t>Statement of proceedings below . . . . . . 2</w:t>
      </w:r>
    </w:p>
    <w:p w:rsidR="003571F3" w:rsidRPr="008F369D" w:rsidRDefault="003571F3" w:rsidP="008F369D">
      <w:pPr>
        <w:pStyle w:val="ListParagraph"/>
        <w:numPr>
          <w:ilvl w:val="0"/>
          <w:numId w:val="1"/>
        </w:numPr>
        <w:spacing w:line="480" w:lineRule="auto"/>
        <w:rPr>
          <w:rFonts w:ascii="Courier New" w:hAnsi="Courier New"/>
        </w:rPr>
      </w:pPr>
      <w:r>
        <w:rPr>
          <w:rFonts w:ascii="Courier New" w:hAnsi="Courier New"/>
        </w:rPr>
        <w:t xml:space="preserve">Statement of relevant facts . . . . . . .  </w:t>
      </w:r>
      <w:r w:rsidR="00F436DB">
        <w:rPr>
          <w:rFonts w:ascii="Courier New" w:hAnsi="Courier New"/>
        </w:rPr>
        <w:t>3</w:t>
      </w:r>
    </w:p>
    <w:p w:rsidR="003571F3" w:rsidRDefault="003571F3" w:rsidP="00731658">
      <w:pPr>
        <w:spacing w:line="480" w:lineRule="auto"/>
        <w:rPr>
          <w:rFonts w:ascii="Courier New" w:hAnsi="Courier New"/>
        </w:rPr>
      </w:pPr>
      <w:r>
        <w:rPr>
          <w:rFonts w:ascii="Courier New" w:hAnsi="Courier New"/>
        </w:rPr>
        <w:t xml:space="preserve">SUMMARY OF THE ARGUMENT . . . . . . . . . . . . .  </w:t>
      </w:r>
      <w:r w:rsidR="00E6411A">
        <w:rPr>
          <w:rFonts w:ascii="Courier New" w:hAnsi="Courier New"/>
        </w:rPr>
        <w:t>4</w:t>
      </w:r>
    </w:p>
    <w:p w:rsidR="003571F3" w:rsidRDefault="003571F3" w:rsidP="00731658">
      <w:pPr>
        <w:spacing w:line="480" w:lineRule="auto"/>
        <w:rPr>
          <w:rFonts w:ascii="Courier New" w:hAnsi="Courier New"/>
        </w:rPr>
      </w:pPr>
      <w:r>
        <w:rPr>
          <w:rFonts w:ascii="Courier New" w:hAnsi="Courier New"/>
        </w:rPr>
        <w:t xml:space="preserve">ARGUMENT . . . . . . . . . . . . . . . . . . . . . </w:t>
      </w:r>
      <w:r w:rsidR="007B49E3">
        <w:rPr>
          <w:rFonts w:ascii="Courier New" w:hAnsi="Courier New"/>
        </w:rPr>
        <w:t>7</w:t>
      </w:r>
    </w:p>
    <w:p w:rsidR="003571F3" w:rsidRDefault="003571F3" w:rsidP="00731658">
      <w:pPr>
        <w:spacing w:line="480" w:lineRule="auto"/>
        <w:rPr>
          <w:rFonts w:ascii="Courier New" w:hAnsi="Courier New"/>
        </w:rPr>
      </w:pPr>
      <w:r>
        <w:rPr>
          <w:rFonts w:ascii="Courier New" w:hAnsi="Courier New"/>
        </w:rPr>
        <w:t xml:space="preserve">CONCLUSION . . . . . . . . . . . . . . . . . . . . </w:t>
      </w:r>
      <w:r w:rsidR="000675C6">
        <w:rPr>
          <w:rFonts w:ascii="Courier New" w:hAnsi="Courier New"/>
        </w:rPr>
        <w:t>14</w:t>
      </w:r>
    </w:p>
    <w:p w:rsidR="003571F3" w:rsidRDefault="003571F3" w:rsidP="00731658">
      <w:pPr>
        <w:spacing w:line="480" w:lineRule="auto"/>
        <w:rPr>
          <w:rFonts w:ascii="Courier New" w:hAnsi="Courier New"/>
        </w:rPr>
      </w:pPr>
    </w:p>
    <w:p w:rsidR="003571F3" w:rsidRDefault="003571F3" w:rsidP="00731658">
      <w:pPr>
        <w:spacing w:line="480" w:lineRule="auto"/>
        <w:rPr>
          <w:rFonts w:ascii="Courier New" w:hAnsi="Courier New"/>
        </w:rPr>
      </w:pPr>
    </w:p>
    <w:p w:rsidR="003571F3" w:rsidRDefault="003571F3" w:rsidP="00731658">
      <w:pPr>
        <w:spacing w:line="480" w:lineRule="auto"/>
        <w:rPr>
          <w:rFonts w:ascii="Courier New" w:hAnsi="Courier New"/>
        </w:rPr>
      </w:pPr>
    </w:p>
    <w:p w:rsidR="003571F3" w:rsidRDefault="003571F3" w:rsidP="00731658">
      <w:pPr>
        <w:spacing w:line="480" w:lineRule="auto"/>
        <w:rPr>
          <w:rFonts w:ascii="Courier New" w:hAnsi="Courier New"/>
        </w:rPr>
      </w:pPr>
    </w:p>
    <w:p w:rsidR="003571F3" w:rsidRDefault="003571F3" w:rsidP="00731658">
      <w:pPr>
        <w:spacing w:line="480" w:lineRule="auto"/>
        <w:rPr>
          <w:rFonts w:ascii="Courier New" w:hAnsi="Courier New"/>
        </w:rPr>
      </w:pPr>
    </w:p>
    <w:p w:rsidR="003571F3" w:rsidRDefault="003571F3" w:rsidP="00731658">
      <w:pPr>
        <w:spacing w:line="480" w:lineRule="auto"/>
        <w:rPr>
          <w:rFonts w:ascii="Courier New" w:hAnsi="Courier New"/>
        </w:rPr>
      </w:pPr>
    </w:p>
    <w:p w:rsidR="003571F3" w:rsidRDefault="003571F3" w:rsidP="00991E86">
      <w:pPr>
        <w:spacing w:line="480" w:lineRule="auto"/>
        <w:jc w:val="center"/>
        <w:rPr>
          <w:rFonts w:ascii="Courier New" w:hAnsi="Courier New"/>
        </w:rPr>
      </w:pPr>
      <w:r>
        <w:rPr>
          <w:rFonts w:ascii="Courier New" w:hAnsi="Courier New"/>
        </w:rPr>
        <w:t>i</w:t>
      </w:r>
    </w:p>
    <w:p w:rsidR="003571F3" w:rsidRDefault="003571F3" w:rsidP="001F7D5B">
      <w:pPr>
        <w:spacing w:line="480" w:lineRule="auto"/>
        <w:jc w:val="center"/>
        <w:rPr>
          <w:rFonts w:ascii="Courier New" w:hAnsi="Courier New"/>
        </w:rPr>
      </w:pPr>
      <w:r>
        <w:rPr>
          <w:rFonts w:ascii="Courier New" w:hAnsi="Courier New"/>
          <w:u w:val="single"/>
        </w:rPr>
        <w:t>TABLE OF AUTHORITIES</w:t>
      </w:r>
    </w:p>
    <w:p w:rsidR="003571F3" w:rsidRPr="00EA2A9A" w:rsidRDefault="003571F3" w:rsidP="00EA2A9A">
      <w:pPr>
        <w:pStyle w:val="ListParagraph"/>
        <w:numPr>
          <w:ilvl w:val="0"/>
          <w:numId w:val="5"/>
        </w:numPr>
        <w:spacing w:line="480" w:lineRule="auto"/>
        <w:rPr>
          <w:rFonts w:ascii="Courier New" w:hAnsi="Courier New"/>
          <w:i/>
        </w:rPr>
      </w:pPr>
      <w:r w:rsidRPr="00EA2A9A">
        <w:rPr>
          <w:rFonts w:ascii="Courier New" w:hAnsi="Courier New"/>
          <w:i/>
        </w:rPr>
        <w:t xml:space="preserve"> Cases</w:t>
      </w:r>
    </w:p>
    <w:p w:rsidR="003571F3" w:rsidRPr="00EA2A9A" w:rsidRDefault="003571F3" w:rsidP="00EA2A9A">
      <w:pPr>
        <w:spacing w:line="480" w:lineRule="auto"/>
        <w:ind w:left="360"/>
        <w:rPr>
          <w:rFonts w:ascii="Courier New" w:hAnsi="Courier New"/>
        </w:rPr>
      </w:pPr>
      <w:r w:rsidRPr="001A1711">
        <w:rPr>
          <w:rFonts w:ascii="Courier New" w:hAnsi="Courier New"/>
          <w:u w:val="single"/>
        </w:rPr>
        <w:t>Alioto v. Marnell</w:t>
      </w:r>
      <w:r w:rsidR="001A1711">
        <w:rPr>
          <w:rFonts w:ascii="Courier New" w:hAnsi="Courier New"/>
        </w:rPr>
        <w:t xml:space="preserve">, </w:t>
      </w:r>
      <w:r w:rsidR="00FE778F">
        <w:rPr>
          <w:rFonts w:ascii="Courier New" w:hAnsi="Courier New"/>
        </w:rPr>
        <w:br/>
      </w:r>
      <w:r w:rsidR="001A1711">
        <w:rPr>
          <w:rFonts w:ascii="Courier New" w:hAnsi="Courier New"/>
        </w:rPr>
        <w:t>520 N.E. 2d 1284, 402 Mass. 36 (1988)</w:t>
      </w:r>
      <w:r w:rsidR="00FE778F">
        <w:rPr>
          <w:rFonts w:ascii="Courier New" w:hAnsi="Courier New"/>
        </w:rPr>
        <w:t xml:space="preserve"> . . . . . . . . 11</w:t>
      </w:r>
    </w:p>
    <w:p w:rsidR="003571F3" w:rsidRDefault="003571F3" w:rsidP="00FE778F">
      <w:pPr>
        <w:tabs>
          <w:tab w:val="left" w:pos="8190"/>
        </w:tabs>
        <w:spacing w:line="480" w:lineRule="auto"/>
        <w:ind w:left="360"/>
        <w:rPr>
          <w:rFonts w:ascii="Courier New" w:hAnsi="Courier New"/>
        </w:rPr>
      </w:pPr>
      <w:r w:rsidRPr="001A1711">
        <w:rPr>
          <w:rFonts w:ascii="Courier New" w:hAnsi="Courier New"/>
          <w:u w:val="single"/>
        </w:rPr>
        <w:t>Cremins v. Clancy</w:t>
      </w:r>
      <w:r>
        <w:rPr>
          <w:rFonts w:ascii="Courier New" w:hAnsi="Courier New"/>
        </w:rPr>
        <w:t>,</w:t>
      </w:r>
      <w:r w:rsidR="00374992">
        <w:rPr>
          <w:rFonts w:ascii="Courier New" w:hAnsi="Courier New"/>
        </w:rPr>
        <w:t xml:space="preserve"> </w:t>
      </w:r>
      <w:r w:rsidR="00FE778F">
        <w:rPr>
          <w:rFonts w:ascii="Courier New" w:hAnsi="Courier New"/>
        </w:rPr>
        <w:br/>
      </w:r>
      <w:r w:rsidR="00374992">
        <w:rPr>
          <w:rFonts w:ascii="Courier New" w:hAnsi="Courier New"/>
        </w:rPr>
        <w:t>612 N.E. 2d 1183, 415 Mass. 289</w:t>
      </w:r>
      <w:r w:rsidR="001A1711">
        <w:rPr>
          <w:rFonts w:ascii="Courier New" w:hAnsi="Courier New"/>
        </w:rPr>
        <w:t xml:space="preserve"> </w:t>
      </w:r>
      <w:r w:rsidR="00374992">
        <w:rPr>
          <w:rFonts w:ascii="Courier New" w:hAnsi="Courier New"/>
        </w:rPr>
        <w:t>(1993)</w:t>
      </w:r>
      <w:r w:rsidR="00FE778F">
        <w:rPr>
          <w:rFonts w:ascii="Courier New" w:hAnsi="Courier New"/>
        </w:rPr>
        <w:t>. . . . . . . . 12</w:t>
      </w:r>
    </w:p>
    <w:p w:rsidR="003571F3" w:rsidRDefault="00374992" w:rsidP="00FE778F">
      <w:pPr>
        <w:tabs>
          <w:tab w:val="left" w:pos="8190"/>
        </w:tabs>
        <w:spacing w:line="480" w:lineRule="auto"/>
        <w:ind w:left="360"/>
        <w:rPr>
          <w:rFonts w:ascii="Courier New" w:hAnsi="Courier New"/>
        </w:rPr>
      </w:pPr>
      <w:r w:rsidRPr="00374992">
        <w:rPr>
          <w:rFonts w:ascii="Courier New" w:hAnsi="Courier New"/>
          <w:u w:val="single"/>
        </w:rPr>
        <w:t>Christopher v. Father’s Huddle Café, Inc.</w:t>
      </w:r>
      <w:r>
        <w:rPr>
          <w:rFonts w:ascii="Courier New" w:hAnsi="Courier New"/>
        </w:rPr>
        <w:t xml:space="preserve">, </w:t>
      </w:r>
      <w:r w:rsidR="00FE778F">
        <w:rPr>
          <w:rFonts w:ascii="Courier New" w:hAnsi="Courier New"/>
        </w:rPr>
        <w:br/>
      </w:r>
      <w:r>
        <w:rPr>
          <w:rFonts w:ascii="Courier New" w:hAnsi="Courier New"/>
        </w:rPr>
        <w:t>782 N.E. 2d 517,</w:t>
      </w:r>
      <w:r w:rsidR="001A1711">
        <w:rPr>
          <w:rFonts w:ascii="Courier New" w:hAnsi="Courier New"/>
        </w:rPr>
        <w:t xml:space="preserve"> 57 Mass. App. Ct. 217</w:t>
      </w:r>
      <w:r>
        <w:rPr>
          <w:rFonts w:ascii="Courier New" w:hAnsi="Courier New"/>
        </w:rPr>
        <w:t xml:space="preserve"> (2003)</w:t>
      </w:r>
      <w:r w:rsidR="00FE778F">
        <w:rPr>
          <w:rFonts w:ascii="Courier New" w:hAnsi="Courier New"/>
        </w:rPr>
        <w:t xml:space="preserve">. . . .  </w:t>
      </w:r>
      <w:r w:rsidR="00D25C86">
        <w:rPr>
          <w:rFonts w:ascii="Courier New" w:hAnsi="Courier New"/>
        </w:rPr>
        <w:t>10</w:t>
      </w:r>
    </w:p>
    <w:p w:rsidR="003571F3" w:rsidRDefault="003571F3" w:rsidP="00EA2A9A">
      <w:pPr>
        <w:spacing w:line="480" w:lineRule="auto"/>
        <w:ind w:left="360"/>
        <w:rPr>
          <w:rFonts w:ascii="Courier New" w:hAnsi="Courier New"/>
        </w:rPr>
      </w:pPr>
      <w:r w:rsidRPr="001A1711">
        <w:rPr>
          <w:rFonts w:ascii="Courier New" w:hAnsi="Courier New"/>
          <w:u w:val="single"/>
        </w:rPr>
        <w:t>Hamilton v. Ganias</w:t>
      </w:r>
      <w:r>
        <w:rPr>
          <w:rFonts w:ascii="Courier New" w:hAnsi="Courier New"/>
        </w:rPr>
        <w:t>,</w:t>
      </w:r>
      <w:r w:rsidR="00374992">
        <w:rPr>
          <w:rFonts w:ascii="Courier New" w:hAnsi="Courier New"/>
        </w:rPr>
        <w:t xml:space="preserve"> </w:t>
      </w:r>
      <w:r w:rsidR="00FE778F">
        <w:rPr>
          <w:rFonts w:ascii="Courier New" w:hAnsi="Courier New"/>
        </w:rPr>
        <w:br/>
      </w:r>
      <w:r w:rsidR="001523AC">
        <w:rPr>
          <w:rFonts w:ascii="Courier New" w:hAnsi="Courier New"/>
        </w:rPr>
        <w:t xml:space="preserve">632 N.E. 2d 407, </w:t>
      </w:r>
      <w:r w:rsidR="00374992">
        <w:rPr>
          <w:rFonts w:ascii="Courier New" w:hAnsi="Courier New"/>
        </w:rPr>
        <w:t>417 Mass. 666</w:t>
      </w:r>
      <w:r w:rsidR="001523AC">
        <w:rPr>
          <w:rFonts w:ascii="Courier New" w:hAnsi="Courier New"/>
        </w:rPr>
        <w:t xml:space="preserve"> (1994)</w:t>
      </w:r>
      <w:r w:rsidR="00FE778F">
        <w:rPr>
          <w:rFonts w:ascii="Courier New" w:hAnsi="Courier New"/>
        </w:rPr>
        <w:t xml:space="preserve"> . . . . . . . . </w:t>
      </w:r>
      <w:r w:rsidR="00DA08DA">
        <w:rPr>
          <w:rFonts w:ascii="Courier New" w:hAnsi="Courier New"/>
        </w:rPr>
        <w:t>9</w:t>
      </w:r>
    </w:p>
    <w:p w:rsidR="003571F3" w:rsidRDefault="003571F3" w:rsidP="00EA2A9A">
      <w:pPr>
        <w:spacing w:line="480" w:lineRule="auto"/>
        <w:ind w:left="360"/>
        <w:rPr>
          <w:rFonts w:ascii="Courier New" w:hAnsi="Courier New"/>
        </w:rPr>
      </w:pPr>
      <w:r w:rsidRPr="001A1711">
        <w:rPr>
          <w:rFonts w:ascii="Courier New" w:hAnsi="Courier New"/>
          <w:u w:val="single"/>
        </w:rPr>
        <w:t>Juliano v. Simpson</w:t>
      </w:r>
      <w:r>
        <w:rPr>
          <w:rFonts w:ascii="Courier New" w:hAnsi="Courier New"/>
        </w:rPr>
        <w:t xml:space="preserve">, </w:t>
      </w:r>
      <w:r w:rsidR="00FE778F">
        <w:rPr>
          <w:rFonts w:ascii="Courier New" w:hAnsi="Courier New"/>
        </w:rPr>
        <w:br/>
      </w:r>
      <w:r w:rsidR="001523AC">
        <w:rPr>
          <w:rFonts w:ascii="Courier New" w:hAnsi="Courier New"/>
        </w:rPr>
        <w:t>962 N.E. 2d 175, 461 Mass. 527 (2012)</w:t>
      </w:r>
      <w:r w:rsidR="00FE778F">
        <w:rPr>
          <w:rFonts w:ascii="Courier New" w:hAnsi="Courier New"/>
        </w:rPr>
        <w:t>. . . . . . . .  1</w:t>
      </w:r>
      <w:r w:rsidR="0078479D">
        <w:rPr>
          <w:rFonts w:ascii="Courier New" w:hAnsi="Courier New"/>
        </w:rPr>
        <w:t>3</w:t>
      </w:r>
    </w:p>
    <w:p w:rsidR="003571F3" w:rsidRDefault="003571F3" w:rsidP="00ED67B5">
      <w:pPr>
        <w:tabs>
          <w:tab w:val="left" w:pos="8190"/>
        </w:tabs>
        <w:spacing w:line="480" w:lineRule="auto"/>
        <w:ind w:left="360"/>
        <w:rPr>
          <w:rFonts w:ascii="Courier New" w:hAnsi="Courier New"/>
        </w:rPr>
      </w:pPr>
      <w:r w:rsidRPr="001A1711">
        <w:rPr>
          <w:rFonts w:ascii="Courier New" w:hAnsi="Courier New"/>
          <w:u w:val="single"/>
        </w:rPr>
        <w:t>Manning v. Nobile</w:t>
      </w:r>
      <w:r>
        <w:rPr>
          <w:rFonts w:ascii="Courier New" w:hAnsi="Courier New"/>
        </w:rPr>
        <w:t>,</w:t>
      </w:r>
      <w:r w:rsidR="00374992">
        <w:rPr>
          <w:rFonts w:ascii="Courier New" w:hAnsi="Courier New"/>
        </w:rPr>
        <w:t xml:space="preserve"> </w:t>
      </w:r>
      <w:r w:rsidR="00FE778F">
        <w:rPr>
          <w:rFonts w:ascii="Courier New" w:hAnsi="Courier New"/>
        </w:rPr>
        <w:br/>
      </w:r>
      <w:r w:rsidR="00374992">
        <w:rPr>
          <w:rFonts w:ascii="Courier New" w:hAnsi="Courier New"/>
        </w:rPr>
        <w:t>582 N.E. 2d 942,</w:t>
      </w:r>
      <w:r w:rsidR="006D1ADE">
        <w:rPr>
          <w:rFonts w:ascii="Courier New" w:hAnsi="Courier New"/>
        </w:rPr>
        <w:t xml:space="preserve"> 411 Mass. 382 (1991)</w:t>
      </w:r>
      <w:r w:rsidR="00FE778F">
        <w:rPr>
          <w:rFonts w:ascii="Courier New" w:hAnsi="Courier New"/>
        </w:rPr>
        <w:t xml:space="preserve">. . . . . . . .  </w:t>
      </w:r>
      <w:r w:rsidR="00D25C86">
        <w:rPr>
          <w:rFonts w:ascii="Courier New" w:hAnsi="Courier New"/>
        </w:rPr>
        <w:t>9</w:t>
      </w:r>
    </w:p>
    <w:p w:rsidR="003571F3" w:rsidRDefault="003571F3" w:rsidP="00EA2A9A">
      <w:pPr>
        <w:spacing w:line="480" w:lineRule="auto"/>
        <w:ind w:left="360"/>
        <w:rPr>
          <w:rFonts w:ascii="Courier New" w:hAnsi="Courier New"/>
        </w:rPr>
      </w:pPr>
      <w:r w:rsidRPr="002B155C">
        <w:rPr>
          <w:rFonts w:ascii="Courier New" w:hAnsi="Courier New"/>
          <w:u w:val="single"/>
        </w:rPr>
        <w:t>McGuiggan v.</w:t>
      </w:r>
      <w:r w:rsidR="00374992" w:rsidRPr="002B155C">
        <w:rPr>
          <w:rFonts w:ascii="Courier New" w:hAnsi="Courier New"/>
          <w:u w:val="single"/>
        </w:rPr>
        <w:t xml:space="preserve"> </w:t>
      </w:r>
      <w:r w:rsidR="00AB06B6">
        <w:rPr>
          <w:rFonts w:ascii="Courier New" w:hAnsi="Courier New"/>
          <w:u w:val="single"/>
        </w:rPr>
        <w:t>New England Tel. &amp; Tel. Co.</w:t>
      </w:r>
      <w:r w:rsidR="001523AC">
        <w:rPr>
          <w:rFonts w:ascii="Courier New" w:hAnsi="Courier New"/>
        </w:rPr>
        <w:t xml:space="preserve">, </w:t>
      </w:r>
      <w:r w:rsidR="00FE778F">
        <w:rPr>
          <w:rFonts w:ascii="Courier New" w:hAnsi="Courier New"/>
        </w:rPr>
        <w:br/>
      </w:r>
      <w:r w:rsidR="006D1ADE">
        <w:rPr>
          <w:rFonts w:ascii="Courier New" w:hAnsi="Courier New"/>
        </w:rPr>
        <w:t xml:space="preserve">496 N.E. 2d 141, </w:t>
      </w:r>
      <w:r w:rsidR="00374992">
        <w:rPr>
          <w:rFonts w:ascii="Courier New" w:hAnsi="Courier New"/>
        </w:rPr>
        <w:t>398 Mass. 152</w:t>
      </w:r>
      <w:r w:rsidR="006D1ADE">
        <w:rPr>
          <w:rFonts w:ascii="Courier New" w:hAnsi="Courier New"/>
        </w:rPr>
        <w:t xml:space="preserve"> (1986)</w:t>
      </w:r>
      <w:r w:rsidR="00ED67B5">
        <w:rPr>
          <w:rFonts w:ascii="Courier New" w:hAnsi="Courier New"/>
        </w:rPr>
        <w:t xml:space="preserve">. . . . . . . .  </w:t>
      </w:r>
      <w:r w:rsidR="00C14EA7">
        <w:rPr>
          <w:rFonts w:ascii="Courier New" w:hAnsi="Courier New"/>
        </w:rPr>
        <w:t>4</w:t>
      </w:r>
    </w:p>
    <w:p w:rsidR="003571F3" w:rsidRDefault="003571F3" w:rsidP="00EA2A9A">
      <w:pPr>
        <w:spacing w:line="480" w:lineRule="auto"/>
        <w:ind w:left="360"/>
        <w:rPr>
          <w:rFonts w:ascii="Courier New" w:hAnsi="Courier New"/>
        </w:rPr>
      </w:pPr>
      <w:r w:rsidRPr="001A1711">
        <w:rPr>
          <w:rFonts w:ascii="Courier New" w:hAnsi="Courier New"/>
          <w:u w:val="single"/>
        </w:rPr>
        <w:t>Nunez v. Carrabba’s Italian Grill</w:t>
      </w:r>
      <w:r>
        <w:rPr>
          <w:rFonts w:ascii="Courier New" w:hAnsi="Courier New"/>
        </w:rPr>
        <w:t>,</w:t>
      </w:r>
      <w:r w:rsidR="00374992">
        <w:rPr>
          <w:rFonts w:ascii="Courier New" w:hAnsi="Courier New"/>
        </w:rPr>
        <w:t xml:space="preserve"> </w:t>
      </w:r>
      <w:r w:rsidR="00ED67B5">
        <w:rPr>
          <w:rFonts w:ascii="Courier New" w:hAnsi="Courier New"/>
        </w:rPr>
        <w:br/>
      </w:r>
      <w:r w:rsidR="00374992">
        <w:rPr>
          <w:rFonts w:ascii="Courier New" w:hAnsi="Courier New"/>
        </w:rPr>
        <w:t xml:space="preserve">859 N.E. 2d 801, </w:t>
      </w:r>
      <w:r w:rsidR="00BB14F6">
        <w:rPr>
          <w:rFonts w:ascii="Courier New" w:hAnsi="Courier New"/>
        </w:rPr>
        <w:t>448 Mass. 170 (2007)</w:t>
      </w:r>
      <w:r w:rsidR="00ED67B5">
        <w:rPr>
          <w:rFonts w:ascii="Courier New" w:hAnsi="Courier New"/>
        </w:rPr>
        <w:t xml:space="preserve">. . . . . . . .  </w:t>
      </w:r>
      <w:r w:rsidR="00D25C86">
        <w:rPr>
          <w:rFonts w:ascii="Courier New" w:hAnsi="Courier New"/>
        </w:rPr>
        <w:t>12</w:t>
      </w:r>
    </w:p>
    <w:p w:rsidR="00ED67B5" w:rsidRDefault="00ED67B5" w:rsidP="00EA2A9A">
      <w:pPr>
        <w:spacing w:line="480" w:lineRule="auto"/>
        <w:ind w:left="360"/>
        <w:rPr>
          <w:rFonts w:ascii="Courier New" w:hAnsi="Courier New"/>
          <w:u w:val="single"/>
        </w:rPr>
      </w:pPr>
    </w:p>
    <w:p w:rsidR="00ED67B5" w:rsidRDefault="00ED67B5" w:rsidP="00ED67B5">
      <w:pPr>
        <w:spacing w:line="480" w:lineRule="auto"/>
        <w:ind w:left="360"/>
        <w:jc w:val="center"/>
        <w:rPr>
          <w:rFonts w:ascii="Courier New" w:hAnsi="Courier New"/>
          <w:u w:val="single"/>
        </w:rPr>
      </w:pPr>
      <w:r>
        <w:rPr>
          <w:rFonts w:ascii="Courier New" w:hAnsi="Courier New"/>
          <w:u w:val="single"/>
        </w:rPr>
        <w:t>ii</w:t>
      </w:r>
    </w:p>
    <w:p w:rsidR="003571F3" w:rsidRDefault="003571F3" w:rsidP="00EA2A9A">
      <w:pPr>
        <w:spacing w:line="480" w:lineRule="auto"/>
        <w:ind w:left="360"/>
        <w:rPr>
          <w:rFonts w:ascii="Courier New" w:hAnsi="Courier New"/>
        </w:rPr>
      </w:pPr>
      <w:r w:rsidRPr="001A1711">
        <w:rPr>
          <w:rFonts w:ascii="Courier New" w:hAnsi="Courier New"/>
          <w:u w:val="single"/>
        </w:rPr>
        <w:t>O’Flynn v. Powers</w:t>
      </w:r>
      <w:r>
        <w:rPr>
          <w:rFonts w:ascii="Courier New" w:hAnsi="Courier New"/>
        </w:rPr>
        <w:t>,</w:t>
      </w:r>
      <w:r w:rsidR="00374992">
        <w:rPr>
          <w:rFonts w:ascii="Courier New" w:hAnsi="Courier New"/>
        </w:rPr>
        <w:t xml:space="preserve"> </w:t>
      </w:r>
      <w:r w:rsidR="00ED67B5">
        <w:rPr>
          <w:rFonts w:ascii="Courier New" w:hAnsi="Courier New"/>
        </w:rPr>
        <w:br/>
      </w:r>
      <w:r w:rsidR="002B155C">
        <w:rPr>
          <w:rFonts w:ascii="Courier New" w:hAnsi="Courier New"/>
        </w:rPr>
        <w:t xml:space="preserve">646 N.E. 2d 1091, </w:t>
      </w:r>
      <w:r w:rsidR="00374992">
        <w:rPr>
          <w:rFonts w:ascii="Courier New" w:hAnsi="Courier New"/>
        </w:rPr>
        <w:t>38 Mass. App. Ct. 936</w:t>
      </w:r>
      <w:r w:rsidR="002B155C">
        <w:rPr>
          <w:rFonts w:ascii="Courier New" w:hAnsi="Courier New"/>
        </w:rPr>
        <w:t xml:space="preserve"> (1995)</w:t>
      </w:r>
      <w:r w:rsidR="00ED67B5">
        <w:rPr>
          <w:rFonts w:ascii="Courier New" w:hAnsi="Courier New"/>
        </w:rPr>
        <w:t xml:space="preserve">. . . . </w:t>
      </w:r>
      <w:r w:rsidR="00D25C86">
        <w:rPr>
          <w:rFonts w:ascii="Courier New" w:hAnsi="Courier New"/>
        </w:rPr>
        <w:t>13</w:t>
      </w:r>
    </w:p>
    <w:p w:rsidR="003571F3" w:rsidRDefault="003571F3" w:rsidP="00ED67B5">
      <w:pPr>
        <w:tabs>
          <w:tab w:val="left" w:pos="8190"/>
        </w:tabs>
        <w:spacing w:line="480" w:lineRule="auto"/>
        <w:ind w:left="360"/>
        <w:rPr>
          <w:rFonts w:ascii="Courier New" w:hAnsi="Courier New"/>
        </w:rPr>
      </w:pPr>
      <w:r w:rsidRPr="001A1711">
        <w:rPr>
          <w:rFonts w:ascii="Courier New" w:hAnsi="Courier New"/>
          <w:u w:val="single"/>
        </w:rPr>
        <w:t>Sampson v. MacDougall</w:t>
      </w:r>
      <w:r>
        <w:rPr>
          <w:rFonts w:ascii="Courier New" w:hAnsi="Courier New"/>
        </w:rPr>
        <w:t xml:space="preserve">, </w:t>
      </w:r>
      <w:r w:rsidR="00ED67B5">
        <w:rPr>
          <w:rFonts w:ascii="Courier New" w:hAnsi="Courier New"/>
        </w:rPr>
        <w:br/>
      </w:r>
      <w:r w:rsidR="00374992">
        <w:rPr>
          <w:rFonts w:ascii="Courier New" w:hAnsi="Courier New"/>
        </w:rPr>
        <w:t>802 N.E. 2d 602,</w:t>
      </w:r>
      <w:r w:rsidR="002B155C">
        <w:rPr>
          <w:rFonts w:ascii="Courier New" w:hAnsi="Courier New"/>
        </w:rPr>
        <w:t xml:space="preserve"> </w:t>
      </w:r>
      <w:r w:rsidR="00CC49B9">
        <w:rPr>
          <w:rFonts w:ascii="Courier New" w:hAnsi="Courier New"/>
        </w:rPr>
        <w:t>60 Mass. App. Ct. 394 (2004)</w:t>
      </w:r>
      <w:r w:rsidR="00ED67B5">
        <w:rPr>
          <w:rFonts w:ascii="Courier New" w:hAnsi="Courier New"/>
        </w:rPr>
        <w:t xml:space="preserve">. . . .  </w:t>
      </w:r>
      <w:r w:rsidR="00D25C86">
        <w:rPr>
          <w:rFonts w:ascii="Courier New" w:hAnsi="Courier New"/>
        </w:rPr>
        <w:t>1</w:t>
      </w:r>
      <w:r w:rsidR="00ED67B5">
        <w:rPr>
          <w:rFonts w:ascii="Courier New" w:hAnsi="Courier New"/>
        </w:rPr>
        <w:t>0</w:t>
      </w:r>
    </w:p>
    <w:p w:rsidR="003571F3" w:rsidRDefault="003571F3" w:rsidP="00992E2E">
      <w:pPr>
        <w:spacing w:line="480" w:lineRule="auto"/>
        <w:ind w:left="360"/>
        <w:rPr>
          <w:rFonts w:ascii="Courier New" w:hAnsi="Courier New"/>
        </w:rPr>
      </w:pPr>
      <w:r w:rsidRPr="001A1711">
        <w:rPr>
          <w:rFonts w:ascii="Courier New" w:hAnsi="Courier New"/>
          <w:u w:val="single"/>
        </w:rPr>
        <w:t>Tobin v. Norwood country Club</w:t>
      </w:r>
      <w:r>
        <w:rPr>
          <w:rFonts w:ascii="Courier New" w:hAnsi="Courier New"/>
        </w:rPr>
        <w:t>,</w:t>
      </w:r>
      <w:r w:rsidR="00374992">
        <w:rPr>
          <w:rFonts w:ascii="Courier New" w:hAnsi="Courier New"/>
        </w:rPr>
        <w:t xml:space="preserve"> </w:t>
      </w:r>
      <w:r w:rsidR="00ED67B5">
        <w:rPr>
          <w:rFonts w:ascii="Courier New" w:hAnsi="Courier New"/>
        </w:rPr>
        <w:br/>
      </w:r>
      <w:r w:rsidR="00374992">
        <w:rPr>
          <w:rFonts w:ascii="Courier New" w:hAnsi="Courier New"/>
        </w:rPr>
        <w:t xml:space="preserve">661 N.E. 2d 627, </w:t>
      </w:r>
      <w:r w:rsidR="00CC49B9">
        <w:rPr>
          <w:rFonts w:ascii="Courier New" w:hAnsi="Courier New"/>
        </w:rPr>
        <w:t>422 Mass. 126 (1996)</w:t>
      </w:r>
      <w:r w:rsidR="00ED67B5">
        <w:rPr>
          <w:rFonts w:ascii="Courier New" w:hAnsi="Courier New"/>
        </w:rPr>
        <w:t xml:space="preserve">. . . . . . . .  </w:t>
      </w:r>
      <w:r w:rsidR="00D25C86">
        <w:rPr>
          <w:rFonts w:ascii="Courier New" w:hAnsi="Courier New"/>
        </w:rPr>
        <w:t>8</w:t>
      </w:r>
    </w:p>
    <w:p w:rsidR="00ED67B5" w:rsidRDefault="003571F3" w:rsidP="00EA2A9A">
      <w:pPr>
        <w:spacing w:line="480" w:lineRule="auto"/>
        <w:ind w:left="360"/>
        <w:rPr>
          <w:rFonts w:ascii="Courier New" w:hAnsi="Courier New"/>
        </w:rPr>
      </w:pPr>
      <w:r w:rsidRPr="001A1711">
        <w:rPr>
          <w:rFonts w:ascii="Courier New" w:hAnsi="Courier New"/>
          <w:u w:val="single"/>
        </w:rPr>
        <w:t>Ulwick v. DeChristopher</w:t>
      </w:r>
      <w:r>
        <w:rPr>
          <w:rFonts w:ascii="Courier New" w:hAnsi="Courier New"/>
        </w:rPr>
        <w:t>,</w:t>
      </w:r>
      <w:r w:rsidR="00374992">
        <w:rPr>
          <w:rFonts w:ascii="Courier New" w:hAnsi="Courier New"/>
        </w:rPr>
        <w:t xml:space="preserve"> </w:t>
      </w:r>
      <w:r w:rsidR="00ED67B5">
        <w:rPr>
          <w:rFonts w:ascii="Courier New" w:hAnsi="Courier New"/>
        </w:rPr>
        <w:br/>
      </w:r>
      <w:r w:rsidR="00AB06B6">
        <w:rPr>
          <w:rFonts w:ascii="Courier New" w:hAnsi="Courier New"/>
        </w:rPr>
        <w:t xml:space="preserve">582 N.E. 2d 954, </w:t>
      </w:r>
      <w:r w:rsidR="00374992">
        <w:rPr>
          <w:rFonts w:ascii="Courier New" w:hAnsi="Courier New"/>
        </w:rPr>
        <w:t>411 Mass. 401</w:t>
      </w:r>
      <w:r w:rsidR="00AB06B6">
        <w:rPr>
          <w:rFonts w:ascii="Courier New" w:hAnsi="Courier New"/>
        </w:rPr>
        <w:t xml:space="preserve"> (1991)</w:t>
      </w:r>
      <w:r w:rsidR="00ED67B5">
        <w:rPr>
          <w:rFonts w:ascii="Courier New" w:hAnsi="Courier New"/>
        </w:rPr>
        <w:t xml:space="preserve">. . . . . . . .  </w:t>
      </w:r>
      <w:r w:rsidR="00C14EA7">
        <w:rPr>
          <w:rFonts w:ascii="Courier New" w:hAnsi="Courier New"/>
        </w:rPr>
        <w:t>5</w:t>
      </w: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A2A9A">
      <w:pPr>
        <w:spacing w:line="480" w:lineRule="auto"/>
        <w:ind w:left="360"/>
        <w:rPr>
          <w:rFonts w:ascii="Courier New" w:hAnsi="Courier New"/>
        </w:rPr>
      </w:pPr>
    </w:p>
    <w:p w:rsidR="00ED67B5" w:rsidRDefault="00ED67B5" w:rsidP="00ED67B5">
      <w:pPr>
        <w:spacing w:line="480" w:lineRule="auto"/>
        <w:ind w:left="360"/>
        <w:jc w:val="center"/>
        <w:rPr>
          <w:rFonts w:ascii="Courier New" w:hAnsi="Courier New"/>
        </w:rPr>
      </w:pPr>
      <w:r>
        <w:rPr>
          <w:rFonts w:ascii="Courier New" w:hAnsi="Courier New"/>
        </w:rPr>
        <w:t>iii</w:t>
      </w:r>
    </w:p>
    <w:p w:rsidR="00C21C84" w:rsidRDefault="00C21C84" w:rsidP="00C21C84">
      <w:pPr>
        <w:spacing w:line="480" w:lineRule="auto"/>
        <w:ind w:left="360"/>
        <w:jc w:val="center"/>
        <w:rPr>
          <w:rFonts w:ascii="Courier New" w:hAnsi="Courier New"/>
        </w:rPr>
      </w:pPr>
      <w:r w:rsidRPr="00C21C84">
        <w:rPr>
          <w:rFonts w:ascii="Courier New" w:hAnsi="Courier New"/>
          <w:u w:val="single"/>
        </w:rPr>
        <w:t>STATEMENT OF THE ISSUES PRESENTED FOR REVIEW</w:t>
      </w:r>
    </w:p>
    <w:p w:rsidR="00EC567C" w:rsidRDefault="0078754A" w:rsidP="00152A00">
      <w:pPr>
        <w:spacing w:line="480" w:lineRule="auto"/>
        <w:ind w:left="720" w:firstLine="720"/>
        <w:rPr>
          <w:rFonts w:ascii="Courier New" w:hAnsi="Courier New"/>
        </w:rPr>
      </w:pPr>
      <w:r>
        <w:rPr>
          <w:rFonts w:ascii="Courier New" w:hAnsi="Courier New"/>
        </w:rPr>
        <w:t xml:space="preserve">Whether the lower court should be </w:t>
      </w:r>
      <w:r w:rsidR="001609AA">
        <w:rPr>
          <w:rFonts w:ascii="Courier New" w:hAnsi="Courier New"/>
        </w:rPr>
        <w:t>overturned</w:t>
      </w:r>
      <w:r>
        <w:rPr>
          <w:rFonts w:ascii="Courier New" w:hAnsi="Courier New"/>
        </w:rPr>
        <w:t xml:space="preserve"> as</w:t>
      </w:r>
      <w:r w:rsidR="00BA634F">
        <w:rPr>
          <w:rFonts w:ascii="Courier New" w:hAnsi="Courier New"/>
        </w:rPr>
        <w:t xml:space="preserve"> to its decision</w:t>
      </w:r>
      <w:r>
        <w:rPr>
          <w:rFonts w:ascii="Courier New" w:hAnsi="Courier New"/>
        </w:rPr>
        <w:t xml:space="preserve"> </w:t>
      </w:r>
      <w:r w:rsidR="00BA634F">
        <w:rPr>
          <w:rFonts w:ascii="Courier New" w:hAnsi="Courier New"/>
        </w:rPr>
        <w:t xml:space="preserve">granting George Clooney </w:t>
      </w:r>
      <w:r w:rsidR="001609AA">
        <w:rPr>
          <w:rFonts w:ascii="Courier New" w:hAnsi="Courier New"/>
        </w:rPr>
        <w:t xml:space="preserve">summary judgment, and holding him </w:t>
      </w:r>
      <w:r w:rsidR="006C1D49">
        <w:rPr>
          <w:rFonts w:ascii="Courier New" w:hAnsi="Courier New"/>
        </w:rPr>
        <w:t xml:space="preserve">as </w:t>
      </w:r>
      <w:r w:rsidR="00BA634F">
        <w:rPr>
          <w:rFonts w:ascii="Courier New" w:hAnsi="Courier New"/>
        </w:rPr>
        <w:t xml:space="preserve">not liable as a social host for </w:t>
      </w:r>
      <w:r w:rsidR="00152A00">
        <w:rPr>
          <w:rFonts w:ascii="Courier New" w:hAnsi="Courier New"/>
        </w:rPr>
        <w:t>his guest’s</w:t>
      </w:r>
      <w:r w:rsidR="006C1D49">
        <w:rPr>
          <w:rFonts w:ascii="Courier New" w:hAnsi="Courier New"/>
        </w:rPr>
        <w:t xml:space="preserve"> reckless drunk driving</w:t>
      </w:r>
      <w:r w:rsidR="00A90959">
        <w:rPr>
          <w:rFonts w:ascii="Courier New" w:hAnsi="Courier New"/>
        </w:rPr>
        <w:t xml:space="preserve"> incident</w:t>
      </w:r>
      <w:r w:rsidR="00BA634F">
        <w:rPr>
          <w:rFonts w:ascii="Courier New" w:hAnsi="Courier New"/>
        </w:rPr>
        <w:t>?</w:t>
      </w: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C21C84">
      <w:pPr>
        <w:spacing w:line="480" w:lineRule="auto"/>
        <w:ind w:left="720"/>
        <w:rPr>
          <w:rFonts w:ascii="Courier New" w:hAnsi="Courier New"/>
        </w:rPr>
      </w:pPr>
    </w:p>
    <w:p w:rsidR="00EC567C" w:rsidRDefault="00EC567C" w:rsidP="00EC567C">
      <w:pPr>
        <w:spacing w:line="480" w:lineRule="auto"/>
        <w:ind w:left="720"/>
        <w:jc w:val="center"/>
        <w:rPr>
          <w:rFonts w:ascii="Courier New" w:hAnsi="Courier New"/>
        </w:rPr>
      </w:pPr>
      <w:r>
        <w:rPr>
          <w:rFonts w:ascii="Courier New" w:hAnsi="Courier New"/>
        </w:rPr>
        <w:t>1</w:t>
      </w:r>
    </w:p>
    <w:p w:rsidR="00A7088F" w:rsidRDefault="00A7088F" w:rsidP="00A7088F">
      <w:pPr>
        <w:spacing w:line="480" w:lineRule="auto"/>
        <w:ind w:left="720"/>
        <w:jc w:val="center"/>
        <w:rPr>
          <w:rFonts w:ascii="Courier New" w:hAnsi="Courier New"/>
          <w:u w:val="single"/>
        </w:rPr>
      </w:pPr>
      <w:r>
        <w:rPr>
          <w:rFonts w:ascii="Courier New" w:hAnsi="Courier New"/>
          <w:u w:val="single"/>
        </w:rPr>
        <w:t>STATEMENT OF THE CASE</w:t>
      </w:r>
    </w:p>
    <w:p w:rsidR="00A12E7E" w:rsidRPr="00566ACD" w:rsidRDefault="00A7088F" w:rsidP="00A12E7E">
      <w:pPr>
        <w:pStyle w:val="ListParagraph"/>
        <w:numPr>
          <w:ilvl w:val="0"/>
          <w:numId w:val="6"/>
        </w:numPr>
        <w:spacing w:line="480" w:lineRule="auto"/>
        <w:rPr>
          <w:rFonts w:ascii="Courier New" w:hAnsi="Courier New"/>
          <w:i/>
        </w:rPr>
      </w:pPr>
      <w:r w:rsidRPr="00566ACD">
        <w:rPr>
          <w:rFonts w:ascii="Courier New" w:hAnsi="Courier New"/>
          <w:i/>
        </w:rPr>
        <w:t>Statement of proceedings below</w:t>
      </w:r>
    </w:p>
    <w:p w:rsidR="00645A44" w:rsidRDefault="00A12E7E" w:rsidP="00A12E7E">
      <w:pPr>
        <w:spacing w:line="480" w:lineRule="auto"/>
        <w:ind w:firstLine="720"/>
        <w:rPr>
          <w:rFonts w:ascii="Courier New" w:hAnsi="Courier New"/>
        </w:rPr>
      </w:pPr>
      <w:r>
        <w:rPr>
          <w:rFonts w:ascii="Courier New" w:hAnsi="Courier New"/>
        </w:rPr>
        <w:t>On January 4, 2013, Bob Dylan, plaintiff and appellant filed his complaint with the Massachusetts Superior Court, Suffolk County. The appellant sued George Clooney, defendant and appellee for social host liability conce</w:t>
      </w:r>
      <w:r w:rsidR="00AF7A21">
        <w:rPr>
          <w:rFonts w:ascii="Courier New" w:hAnsi="Courier New"/>
        </w:rPr>
        <w:t>rning a guest, Lindsay Lohan who was involved in a car accident as a result of her intoxication of alcohol she brought to and dr</w:t>
      </w:r>
      <w:r w:rsidR="00D12D2F">
        <w:rPr>
          <w:rFonts w:ascii="Courier New" w:hAnsi="Courier New"/>
        </w:rPr>
        <w:t>a</w:t>
      </w:r>
      <w:r w:rsidR="00AF7A21">
        <w:rPr>
          <w:rFonts w:ascii="Courier New" w:hAnsi="Courier New"/>
        </w:rPr>
        <w:t xml:space="preserve">nk at the appellee’s house. </w:t>
      </w:r>
    </w:p>
    <w:p w:rsidR="00645A44" w:rsidRDefault="00007F00" w:rsidP="00A12E7E">
      <w:pPr>
        <w:spacing w:line="480" w:lineRule="auto"/>
        <w:ind w:firstLine="720"/>
        <w:rPr>
          <w:rFonts w:ascii="Courier New" w:hAnsi="Courier New"/>
        </w:rPr>
      </w:pPr>
      <w:r>
        <w:rPr>
          <w:rFonts w:ascii="Courier New" w:hAnsi="Courier New"/>
        </w:rPr>
        <w:t>On July 10, 2013, t</w:t>
      </w:r>
      <w:r w:rsidR="00645A44">
        <w:rPr>
          <w:rFonts w:ascii="Courier New" w:hAnsi="Courier New"/>
        </w:rPr>
        <w:t xml:space="preserve">he appellee George Clooney moved for summary judgment and the court granted it on August 31, 2013. The court held that there were no genuine issues of material fact as to 1. Whether Mr. Clooney knew or should have known Ms. Lohan was drunk; and 2. Whether Mr. Clooney had “control” </w:t>
      </w:r>
      <w:r>
        <w:rPr>
          <w:rFonts w:ascii="Courier New" w:hAnsi="Courier New"/>
        </w:rPr>
        <w:t>over</w:t>
      </w:r>
      <w:r w:rsidR="00645A44">
        <w:rPr>
          <w:rFonts w:ascii="Courier New" w:hAnsi="Courier New"/>
        </w:rPr>
        <w:t xml:space="preserve"> the alcoholic beverages Ms. Lohan drank at the party.</w:t>
      </w:r>
    </w:p>
    <w:p w:rsidR="008A0804" w:rsidRDefault="006D21B5" w:rsidP="00A12E7E">
      <w:pPr>
        <w:spacing w:line="480" w:lineRule="auto"/>
        <w:ind w:firstLine="720"/>
        <w:rPr>
          <w:rFonts w:ascii="Courier New" w:hAnsi="Courier New"/>
        </w:rPr>
      </w:pPr>
      <w:r>
        <w:rPr>
          <w:rFonts w:ascii="Courier New" w:hAnsi="Courier New"/>
        </w:rPr>
        <w:t>On September 30, 2013, the appellant Bob Dylan appealed the decision to the Massachusetts Appeals Court in Suffolk County</w:t>
      </w:r>
      <w:r w:rsidR="00F40188">
        <w:rPr>
          <w:rFonts w:ascii="Courier New" w:hAnsi="Courier New"/>
        </w:rPr>
        <w:t>,</w:t>
      </w:r>
      <w:r>
        <w:rPr>
          <w:rFonts w:ascii="Courier New" w:hAnsi="Courier New"/>
        </w:rPr>
        <w:t xml:space="preserve"> who provided a case number of 2013-P-4321. </w:t>
      </w:r>
      <w:r w:rsidR="00016913">
        <w:rPr>
          <w:rFonts w:ascii="Courier New" w:hAnsi="Courier New"/>
        </w:rPr>
        <w:t xml:space="preserve">The appellant claims that the lower court erred when it granted summary judgment to the appellee Mr. Clooney and </w:t>
      </w:r>
    </w:p>
    <w:p w:rsidR="008A0804" w:rsidRDefault="008A0804" w:rsidP="008A0804">
      <w:pPr>
        <w:spacing w:line="480" w:lineRule="auto"/>
        <w:ind w:firstLine="720"/>
        <w:jc w:val="center"/>
        <w:rPr>
          <w:rFonts w:ascii="Courier New" w:hAnsi="Courier New"/>
        </w:rPr>
      </w:pPr>
      <w:r>
        <w:rPr>
          <w:rFonts w:ascii="Courier New" w:hAnsi="Courier New"/>
        </w:rPr>
        <w:t>2</w:t>
      </w:r>
    </w:p>
    <w:p w:rsidR="00A12E7E" w:rsidRPr="00A12E7E" w:rsidRDefault="00016913" w:rsidP="008A0804">
      <w:pPr>
        <w:spacing w:line="480" w:lineRule="auto"/>
        <w:rPr>
          <w:rFonts w:ascii="Courier New" w:hAnsi="Courier New"/>
        </w:rPr>
      </w:pPr>
      <w:r>
        <w:rPr>
          <w:rFonts w:ascii="Courier New" w:hAnsi="Courier New"/>
        </w:rPr>
        <w:t>that there are no material issues of fact to go to trial.</w:t>
      </w:r>
    </w:p>
    <w:p w:rsidR="00A12E7E" w:rsidRPr="00566ACD" w:rsidRDefault="00A12E7E" w:rsidP="00A12E7E">
      <w:pPr>
        <w:pStyle w:val="ListParagraph"/>
        <w:numPr>
          <w:ilvl w:val="0"/>
          <w:numId w:val="6"/>
        </w:numPr>
        <w:spacing w:line="480" w:lineRule="auto"/>
        <w:rPr>
          <w:rFonts w:ascii="Courier New" w:hAnsi="Courier New"/>
          <w:i/>
        </w:rPr>
      </w:pPr>
      <w:r w:rsidRPr="00566ACD">
        <w:rPr>
          <w:rFonts w:ascii="Courier New" w:hAnsi="Courier New"/>
          <w:i/>
        </w:rPr>
        <w:t>Statement of relevant facts</w:t>
      </w:r>
      <w:r w:rsidR="00A7088F" w:rsidRPr="00566ACD">
        <w:rPr>
          <w:rFonts w:ascii="Courier New" w:hAnsi="Courier New"/>
          <w:i/>
        </w:rPr>
        <w:t xml:space="preserve"> </w:t>
      </w:r>
    </w:p>
    <w:p w:rsidR="008A0804" w:rsidRDefault="00A12E7E" w:rsidP="00A12E7E">
      <w:pPr>
        <w:spacing w:line="480" w:lineRule="auto"/>
        <w:ind w:firstLine="720"/>
        <w:rPr>
          <w:rFonts w:ascii="Courier New" w:hAnsi="Courier New"/>
        </w:rPr>
      </w:pPr>
      <w:r w:rsidRPr="00A12E7E">
        <w:rPr>
          <w:rFonts w:ascii="Courier New" w:hAnsi="Courier New"/>
        </w:rPr>
        <w:t>Twenty-seven-year-old George Clooney just graduated law school, passed the bar and is a new owner of a condominium. He decided to celebrate with a B.Y.O.B., bring your own booze party. He supplied juice, buckets of ice, cups, bottle openers for wine and beer, and two bottles of champagne to share amongst thirty guests. Among his guests, arrived Lindsay Lohan at 8:00 p.m. She brought with her three bottles of Absolut vodka. George’s night was spent greeting the thirty guests, and thus was unable to keep tracking the amounts of alcohol they consumed or distinguish whether they drank alcohol or juice. He knew Lindsay was at the party because he remembered seeing her drink from a cup with unidentifiable liquid, and that she had been dancing. Lindsay left the party at midnight to go home and while on I-93, swerved precariously between lanes and hit the driver Bob Dylan. Bob sustained serious injuries and is suing George</w:t>
      </w:r>
      <w:r>
        <w:rPr>
          <w:rFonts w:ascii="Courier New" w:hAnsi="Courier New"/>
        </w:rPr>
        <w:t>.</w:t>
      </w:r>
    </w:p>
    <w:p w:rsidR="008A0804" w:rsidRDefault="008A0804" w:rsidP="00A12E7E">
      <w:pPr>
        <w:spacing w:line="480" w:lineRule="auto"/>
        <w:ind w:firstLine="720"/>
        <w:rPr>
          <w:rFonts w:ascii="Courier New" w:hAnsi="Courier New"/>
        </w:rPr>
      </w:pPr>
    </w:p>
    <w:p w:rsidR="008A0804" w:rsidRDefault="008A0804" w:rsidP="00A12E7E">
      <w:pPr>
        <w:spacing w:line="480" w:lineRule="auto"/>
        <w:ind w:firstLine="720"/>
        <w:rPr>
          <w:rFonts w:ascii="Courier New" w:hAnsi="Courier New"/>
        </w:rPr>
      </w:pPr>
    </w:p>
    <w:p w:rsidR="008A0804" w:rsidRDefault="008A0804" w:rsidP="008A0804">
      <w:pPr>
        <w:spacing w:line="480" w:lineRule="auto"/>
        <w:ind w:firstLine="720"/>
        <w:jc w:val="center"/>
        <w:rPr>
          <w:rFonts w:ascii="Courier New" w:hAnsi="Courier New"/>
        </w:rPr>
      </w:pPr>
      <w:r>
        <w:rPr>
          <w:rFonts w:ascii="Courier New" w:hAnsi="Courier New"/>
        </w:rPr>
        <w:t>3</w:t>
      </w:r>
    </w:p>
    <w:p w:rsidR="0051137D" w:rsidRDefault="0051137D" w:rsidP="0051137D">
      <w:pPr>
        <w:spacing w:line="480" w:lineRule="auto"/>
        <w:ind w:firstLine="720"/>
        <w:jc w:val="center"/>
        <w:rPr>
          <w:rFonts w:ascii="Courier New" w:hAnsi="Courier New"/>
        </w:rPr>
      </w:pPr>
      <w:r>
        <w:rPr>
          <w:rFonts w:ascii="Courier New" w:hAnsi="Courier New"/>
          <w:u w:val="single"/>
        </w:rPr>
        <w:t>SUMMARY OF THE ARGUMENT</w:t>
      </w:r>
    </w:p>
    <w:p w:rsidR="00E41A2F" w:rsidRDefault="00F30328" w:rsidP="005050D1">
      <w:pPr>
        <w:spacing w:line="480" w:lineRule="auto"/>
        <w:ind w:firstLine="720"/>
        <w:rPr>
          <w:rFonts w:ascii="Courier New" w:hAnsi="Courier New"/>
        </w:rPr>
      </w:pPr>
      <w:r>
        <w:rPr>
          <w:rFonts w:ascii="Courier New" w:hAnsi="Courier New"/>
        </w:rPr>
        <w:t>The Superior Court properly granted the appellee George Clooney’s summary judgment releasi</w:t>
      </w:r>
      <w:r w:rsidR="005050D1">
        <w:rPr>
          <w:rFonts w:ascii="Courier New" w:hAnsi="Courier New"/>
        </w:rPr>
        <w:t xml:space="preserve">ng him of social host liability. </w:t>
      </w:r>
    </w:p>
    <w:p w:rsidR="006C0F38" w:rsidRDefault="005050D1" w:rsidP="005050D1">
      <w:pPr>
        <w:spacing w:line="480" w:lineRule="auto"/>
        <w:ind w:firstLine="720"/>
        <w:rPr>
          <w:rFonts w:ascii="Courier New" w:hAnsi="Courier New"/>
        </w:rPr>
      </w:pPr>
      <w:r>
        <w:rPr>
          <w:rFonts w:ascii="Courier New" w:hAnsi="Courier New"/>
        </w:rPr>
        <w:t>The first element of social host liability “establishes the principle that a host may be liable for injuries to a third person where the host knew or should have known that his guest was drunk and gave him or permitted him to take an alcoholic drink and thereafter, the guest negli</w:t>
      </w:r>
      <w:r w:rsidR="00A269A7">
        <w:rPr>
          <w:rFonts w:ascii="Courier New" w:hAnsi="Courier New"/>
        </w:rPr>
        <w:t xml:space="preserve">gently operated a motor vehicle, </w:t>
      </w:r>
      <w:r>
        <w:rPr>
          <w:rFonts w:ascii="Courier New" w:hAnsi="Courier New"/>
        </w:rPr>
        <w:t xml:space="preserve">causing the third person’s injury.” </w:t>
      </w:r>
      <w:r w:rsidR="007712A3" w:rsidRPr="007712A3">
        <w:rPr>
          <w:rFonts w:ascii="Courier New" w:hAnsi="Courier New"/>
          <w:u w:val="single"/>
        </w:rPr>
        <w:t>McGuiggan v. New England Tel. &amp; Tel. Co.</w:t>
      </w:r>
      <w:r w:rsidR="007712A3">
        <w:rPr>
          <w:rFonts w:ascii="Courier New" w:hAnsi="Courier New"/>
        </w:rPr>
        <w:t xml:space="preserve">, 496 N.E. 2d 141 (Mass. 1986) In </w:t>
      </w:r>
      <w:r w:rsidR="007712A3" w:rsidRPr="007712A3">
        <w:rPr>
          <w:rFonts w:ascii="Courier New" w:hAnsi="Courier New"/>
          <w:u w:val="single"/>
        </w:rPr>
        <w:t>McGuiggan</w:t>
      </w:r>
      <w:r w:rsidR="007712A3">
        <w:rPr>
          <w:rFonts w:ascii="Courier New" w:hAnsi="Courier New"/>
        </w:rPr>
        <w:t xml:space="preserve">, the hosts who served alcohol </w:t>
      </w:r>
      <w:r w:rsidR="00E41A2F">
        <w:rPr>
          <w:rFonts w:ascii="Courier New" w:hAnsi="Courier New"/>
        </w:rPr>
        <w:t>did not believe</w:t>
      </w:r>
      <w:r w:rsidR="007712A3">
        <w:rPr>
          <w:rFonts w:ascii="Courier New" w:hAnsi="Courier New"/>
        </w:rPr>
        <w:t xml:space="preserve"> the driver was drunk and were confident to have him drive the other guests home. The driver, Macgee did well driving, but the guest </w:t>
      </w:r>
      <w:r w:rsidR="00E41A2F">
        <w:rPr>
          <w:rFonts w:ascii="Courier New" w:hAnsi="Courier New"/>
        </w:rPr>
        <w:t>passenger</w:t>
      </w:r>
      <w:r w:rsidR="007712A3">
        <w:rPr>
          <w:rFonts w:ascii="Courier New" w:hAnsi="Courier New"/>
        </w:rPr>
        <w:t xml:space="preserve"> who was drunk, </w:t>
      </w:r>
      <w:r w:rsidR="00007E72">
        <w:rPr>
          <w:rFonts w:ascii="Courier New" w:hAnsi="Courier New"/>
        </w:rPr>
        <w:t xml:space="preserve">had </w:t>
      </w:r>
      <w:r w:rsidR="007712A3">
        <w:rPr>
          <w:rFonts w:ascii="Courier New" w:hAnsi="Courier New"/>
        </w:rPr>
        <w:t>stuck his head out of the window and was struck by a pole</w:t>
      </w:r>
      <w:r w:rsidR="003F6F77">
        <w:rPr>
          <w:rFonts w:ascii="Courier New" w:hAnsi="Courier New"/>
        </w:rPr>
        <w:t xml:space="preserve"> and </w:t>
      </w:r>
      <w:r w:rsidR="009E6382">
        <w:rPr>
          <w:rFonts w:ascii="Courier New" w:hAnsi="Courier New"/>
        </w:rPr>
        <w:t>later</w:t>
      </w:r>
      <w:r w:rsidR="00A269A7">
        <w:rPr>
          <w:rFonts w:ascii="Courier New" w:hAnsi="Courier New"/>
        </w:rPr>
        <w:t xml:space="preserve"> died</w:t>
      </w:r>
      <w:r w:rsidR="007712A3">
        <w:rPr>
          <w:rFonts w:ascii="Courier New" w:hAnsi="Courier New"/>
        </w:rPr>
        <w:t>. Since the hosts were unaware of any intoxication, they were not liable</w:t>
      </w:r>
      <w:r w:rsidR="00E41A2F">
        <w:rPr>
          <w:rFonts w:ascii="Courier New" w:hAnsi="Courier New"/>
        </w:rPr>
        <w:t xml:space="preserve"> for injuries that resulted in the death of the passenger</w:t>
      </w:r>
      <w:r w:rsidR="007712A3">
        <w:rPr>
          <w:rFonts w:ascii="Courier New" w:hAnsi="Courier New"/>
        </w:rPr>
        <w:t xml:space="preserve">. </w:t>
      </w:r>
    </w:p>
    <w:p w:rsidR="00A041E1" w:rsidRDefault="007712A3" w:rsidP="00152A00">
      <w:pPr>
        <w:spacing w:line="480" w:lineRule="auto"/>
        <w:ind w:firstLine="720"/>
        <w:rPr>
          <w:rFonts w:ascii="Courier New" w:hAnsi="Courier New"/>
        </w:rPr>
      </w:pPr>
      <w:r>
        <w:rPr>
          <w:rFonts w:ascii="Courier New" w:hAnsi="Courier New"/>
        </w:rPr>
        <w:t xml:space="preserve">The appellee George who greeted </w:t>
      </w:r>
      <w:r w:rsidR="006C0F38">
        <w:rPr>
          <w:rFonts w:ascii="Courier New" w:hAnsi="Courier New"/>
        </w:rPr>
        <w:t xml:space="preserve">thirty guests at his </w:t>
      </w:r>
    </w:p>
    <w:p w:rsidR="00A041E1" w:rsidRDefault="00A041E1" w:rsidP="00A041E1">
      <w:pPr>
        <w:spacing w:line="480" w:lineRule="auto"/>
        <w:ind w:firstLine="720"/>
        <w:jc w:val="center"/>
        <w:rPr>
          <w:rFonts w:ascii="Courier New" w:hAnsi="Courier New"/>
        </w:rPr>
      </w:pPr>
      <w:r>
        <w:rPr>
          <w:rFonts w:ascii="Courier New" w:hAnsi="Courier New"/>
        </w:rPr>
        <w:t>4</w:t>
      </w:r>
    </w:p>
    <w:p w:rsidR="00A041E1" w:rsidRDefault="00A041E1" w:rsidP="00152A00">
      <w:pPr>
        <w:spacing w:line="480" w:lineRule="auto"/>
        <w:ind w:firstLine="720"/>
        <w:rPr>
          <w:rFonts w:ascii="Courier New" w:hAnsi="Courier New"/>
        </w:rPr>
      </w:pPr>
    </w:p>
    <w:p w:rsidR="006C0F38" w:rsidRDefault="006C0F38" w:rsidP="00152A00">
      <w:pPr>
        <w:spacing w:line="480" w:lineRule="auto"/>
        <w:rPr>
          <w:rFonts w:ascii="Courier New" w:hAnsi="Courier New"/>
        </w:rPr>
      </w:pPr>
      <w:r>
        <w:rPr>
          <w:rFonts w:ascii="Courier New" w:hAnsi="Courier New"/>
        </w:rPr>
        <w:t xml:space="preserve">house was not in much contact with Lindsay and was unaware of </w:t>
      </w:r>
      <w:r w:rsidR="00745009">
        <w:rPr>
          <w:rFonts w:ascii="Courier New" w:hAnsi="Courier New"/>
        </w:rPr>
        <w:t>her</w:t>
      </w:r>
      <w:r>
        <w:rPr>
          <w:rFonts w:ascii="Courier New" w:hAnsi="Courier New"/>
        </w:rPr>
        <w:t xml:space="preserve"> intoxication </w:t>
      </w:r>
      <w:r w:rsidR="00745009">
        <w:rPr>
          <w:rFonts w:ascii="Courier New" w:hAnsi="Courier New"/>
        </w:rPr>
        <w:t>of</w:t>
      </w:r>
      <w:r>
        <w:rPr>
          <w:rFonts w:ascii="Courier New" w:hAnsi="Courier New"/>
        </w:rPr>
        <w:t xml:space="preserve"> the alcohol she brought herself to drink. </w:t>
      </w:r>
      <w:r w:rsidRPr="006C0F38">
        <w:rPr>
          <w:rFonts w:ascii="Courier New" w:hAnsi="Courier New"/>
        </w:rPr>
        <w:t xml:space="preserve">Therefore, George </w:t>
      </w:r>
      <w:r w:rsidR="00F45C16">
        <w:rPr>
          <w:rFonts w:ascii="Courier New" w:hAnsi="Courier New"/>
        </w:rPr>
        <w:t>lacked</w:t>
      </w:r>
      <w:r w:rsidRPr="006C0F38">
        <w:rPr>
          <w:rFonts w:ascii="Courier New" w:hAnsi="Courier New"/>
        </w:rPr>
        <w:t xml:space="preserve"> the knowledge that Lindsay was drunk to be liable for her</w:t>
      </w:r>
      <w:r w:rsidR="00152A00">
        <w:rPr>
          <w:rFonts w:ascii="Courier New" w:hAnsi="Courier New"/>
        </w:rPr>
        <w:t xml:space="preserve"> </w:t>
      </w:r>
      <w:r w:rsidRPr="006C0F38">
        <w:rPr>
          <w:rFonts w:ascii="Courier New" w:hAnsi="Courier New"/>
        </w:rPr>
        <w:t>leaving to drive recklessly.</w:t>
      </w:r>
    </w:p>
    <w:p w:rsidR="0054312A" w:rsidRDefault="006C0F38" w:rsidP="00E41A2F">
      <w:pPr>
        <w:spacing w:line="480" w:lineRule="auto"/>
        <w:ind w:firstLine="720"/>
        <w:rPr>
          <w:rFonts w:ascii="Courier New" w:hAnsi="Courier New"/>
        </w:rPr>
      </w:pPr>
      <w:r>
        <w:rPr>
          <w:rFonts w:ascii="Courier New" w:hAnsi="Courier New"/>
        </w:rPr>
        <w:tab/>
        <w:t>The second element of social host liability “establishes that a social host cannot be liable for injuries to a third person unless the host controlled the liquor provided to the guest who negligently caused the injury.</w:t>
      </w:r>
      <w:r w:rsidR="0022206C">
        <w:rPr>
          <w:rFonts w:ascii="Courier New" w:hAnsi="Courier New"/>
        </w:rPr>
        <w:t xml:space="preserve">” </w:t>
      </w:r>
      <w:r w:rsidR="0022206C" w:rsidRPr="000465C0">
        <w:rPr>
          <w:rFonts w:ascii="Courier New" w:hAnsi="Courier New"/>
          <w:u w:val="single"/>
        </w:rPr>
        <w:t>Ulwick v. DeChristopher</w:t>
      </w:r>
      <w:r w:rsidR="0022206C" w:rsidRPr="000465C0">
        <w:rPr>
          <w:rFonts w:ascii="Courier New" w:hAnsi="Courier New"/>
        </w:rPr>
        <w:t>,</w:t>
      </w:r>
      <w:r w:rsidR="0022206C">
        <w:rPr>
          <w:rFonts w:ascii="Courier New" w:hAnsi="Courier New"/>
        </w:rPr>
        <w:t xml:space="preserve"> 582 N.E. 2d 954 (Mass. 1991) T</w:t>
      </w:r>
      <w:r w:rsidR="0022206C" w:rsidRPr="000465C0">
        <w:rPr>
          <w:rFonts w:ascii="Courier New" w:hAnsi="Courier New"/>
        </w:rPr>
        <w:t>he host</w:t>
      </w:r>
      <w:r w:rsidR="0022206C">
        <w:rPr>
          <w:rFonts w:ascii="Courier New" w:hAnsi="Courier New"/>
        </w:rPr>
        <w:t xml:space="preserve"> in </w:t>
      </w:r>
      <w:r w:rsidR="0022206C">
        <w:rPr>
          <w:rFonts w:ascii="Courier New" w:hAnsi="Courier New"/>
          <w:u w:val="single"/>
        </w:rPr>
        <w:t>Ulwick</w:t>
      </w:r>
      <w:r w:rsidR="0022206C" w:rsidRPr="000465C0">
        <w:rPr>
          <w:rFonts w:ascii="Courier New" w:hAnsi="Courier New"/>
        </w:rPr>
        <w:t xml:space="preserve"> did not supply the alcohol for his B.Y.O.B. party. His guest, Salvatore was observed drinking, mixing drinks and staggering on his feet. The host did not intervene in any way with Salvatore’s drinking and had permitted him in his intoxicated state to drive. Salvatore’s driving consisted of plowing through an oncoming police motorcyclist, seriously injuring him. The court held that the host was not liable for the injuries sustained a motorcycle officer even when he knew the guest who drove was extremely drunk, because he did not supply the alcohol.</w:t>
      </w:r>
      <w:r w:rsidR="009B03E6">
        <w:rPr>
          <w:rFonts w:ascii="Courier New" w:hAnsi="Courier New"/>
        </w:rPr>
        <w:t xml:space="preserve"> Here George had only provided two bottles of champagne </w:t>
      </w:r>
      <w:r w:rsidR="00C9714A">
        <w:rPr>
          <w:rFonts w:ascii="Courier New" w:hAnsi="Courier New"/>
        </w:rPr>
        <w:t xml:space="preserve">to </w:t>
      </w:r>
      <w:r w:rsidR="009B03E6">
        <w:rPr>
          <w:rFonts w:ascii="Courier New" w:hAnsi="Courier New"/>
        </w:rPr>
        <w:t xml:space="preserve">split amongst thirty guests and </w:t>
      </w:r>
      <w:r w:rsidR="009978CF">
        <w:rPr>
          <w:rFonts w:ascii="Courier New" w:hAnsi="Courier New"/>
        </w:rPr>
        <w:t xml:space="preserve">he </w:t>
      </w:r>
      <w:r w:rsidR="009B03E6">
        <w:rPr>
          <w:rFonts w:ascii="Courier New" w:hAnsi="Courier New"/>
        </w:rPr>
        <w:t>did not</w:t>
      </w:r>
    </w:p>
    <w:p w:rsidR="0054312A" w:rsidRDefault="0054312A" w:rsidP="0054312A">
      <w:pPr>
        <w:spacing w:line="480" w:lineRule="auto"/>
        <w:ind w:firstLine="720"/>
        <w:jc w:val="center"/>
        <w:rPr>
          <w:rFonts w:ascii="Courier New" w:hAnsi="Courier New"/>
        </w:rPr>
      </w:pPr>
      <w:r>
        <w:rPr>
          <w:rFonts w:ascii="Courier New" w:hAnsi="Courier New"/>
        </w:rPr>
        <w:t>5</w:t>
      </w:r>
    </w:p>
    <w:p w:rsidR="0054312A" w:rsidRDefault="009B03E6" w:rsidP="00E41A2F">
      <w:pPr>
        <w:spacing w:line="480" w:lineRule="auto"/>
        <w:ind w:firstLine="720"/>
        <w:rPr>
          <w:rFonts w:ascii="Courier New" w:hAnsi="Courier New"/>
        </w:rPr>
      </w:pPr>
      <w:r>
        <w:rPr>
          <w:rFonts w:ascii="Courier New" w:hAnsi="Courier New"/>
        </w:rPr>
        <w:t xml:space="preserve"> </w:t>
      </w:r>
    </w:p>
    <w:p w:rsidR="00E41A2F" w:rsidRDefault="009B03E6" w:rsidP="00152A00">
      <w:pPr>
        <w:spacing w:line="480" w:lineRule="auto"/>
        <w:rPr>
          <w:rFonts w:ascii="Courier New" w:hAnsi="Courier New"/>
        </w:rPr>
      </w:pPr>
      <w:r>
        <w:rPr>
          <w:rFonts w:ascii="Courier New" w:hAnsi="Courier New"/>
        </w:rPr>
        <w:t>serve the alcohol brought and drunk by Lindsay that resulted in her reckless driving. Therefore, George who</w:t>
      </w:r>
      <w:r w:rsidRPr="000465C0">
        <w:rPr>
          <w:rFonts w:ascii="Courier New" w:hAnsi="Courier New"/>
        </w:rPr>
        <w:t xml:space="preserve"> offer</w:t>
      </w:r>
      <w:r>
        <w:rPr>
          <w:rFonts w:ascii="Courier New" w:hAnsi="Courier New"/>
        </w:rPr>
        <w:t>ed limited</w:t>
      </w:r>
      <w:r w:rsidRPr="000465C0">
        <w:rPr>
          <w:rFonts w:ascii="Courier New" w:hAnsi="Courier New"/>
        </w:rPr>
        <w:t xml:space="preserve"> alcohol was neither liable for not controlling the guest’s alcohol intake nor liable for not preventing the guest from driving. </w:t>
      </w:r>
    </w:p>
    <w:p w:rsidR="00152A00" w:rsidRDefault="00E41A2F" w:rsidP="00E41A2F">
      <w:pPr>
        <w:spacing w:line="480" w:lineRule="auto"/>
        <w:ind w:firstLine="720"/>
        <w:rPr>
          <w:rFonts w:ascii="Courier New" w:hAnsi="Courier New"/>
        </w:rPr>
      </w:pPr>
      <w:r w:rsidRPr="000465C0">
        <w:rPr>
          <w:rFonts w:ascii="Courier New" w:hAnsi="Courier New"/>
        </w:rPr>
        <w:t>George Clooney who did not supply Lindsay Lohan alcohol, was not aware of her intoxication, and would not be liable for controlling her alcohol intake or prevent her from driving intoxicated.  Therefore, George is not liable under social host liability for his lack of awareness of Lindsay’s intoxication that he needed to control her drinking and actions, since he did not serve</w:t>
      </w:r>
      <w:r w:rsidR="003D50D7">
        <w:rPr>
          <w:rFonts w:ascii="Courier New" w:hAnsi="Courier New"/>
        </w:rPr>
        <w:t xml:space="preserve"> the alcohol she brought and dru</w:t>
      </w:r>
      <w:r w:rsidRPr="000465C0">
        <w:rPr>
          <w:rFonts w:ascii="Courier New" w:hAnsi="Courier New"/>
        </w:rPr>
        <w:t>nk herself.</w:t>
      </w:r>
    </w:p>
    <w:p w:rsidR="00152A00" w:rsidRDefault="00152A00" w:rsidP="00E41A2F">
      <w:pPr>
        <w:spacing w:line="480" w:lineRule="auto"/>
        <w:ind w:firstLine="720"/>
        <w:rPr>
          <w:rFonts w:ascii="Courier New" w:hAnsi="Courier New"/>
        </w:rPr>
      </w:pPr>
    </w:p>
    <w:p w:rsidR="00152A00" w:rsidRDefault="00152A00" w:rsidP="00E41A2F">
      <w:pPr>
        <w:spacing w:line="480" w:lineRule="auto"/>
        <w:ind w:firstLine="720"/>
        <w:rPr>
          <w:rFonts w:ascii="Courier New" w:hAnsi="Courier New"/>
        </w:rPr>
      </w:pPr>
    </w:p>
    <w:p w:rsidR="00152A00" w:rsidRDefault="00152A00" w:rsidP="00E41A2F">
      <w:pPr>
        <w:spacing w:line="480" w:lineRule="auto"/>
        <w:ind w:firstLine="720"/>
        <w:rPr>
          <w:rFonts w:ascii="Courier New" w:hAnsi="Courier New"/>
        </w:rPr>
      </w:pPr>
    </w:p>
    <w:p w:rsidR="00152A00" w:rsidRDefault="00152A00" w:rsidP="00E41A2F">
      <w:pPr>
        <w:spacing w:line="480" w:lineRule="auto"/>
        <w:ind w:firstLine="720"/>
        <w:rPr>
          <w:rFonts w:ascii="Courier New" w:hAnsi="Courier New"/>
        </w:rPr>
      </w:pPr>
    </w:p>
    <w:p w:rsidR="00152A00" w:rsidRDefault="00152A00" w:rsidP="00E41A2F">
      <w:pPr>
        <w:spacing w:line="480" w:lineRule="auto"/>
        <w:ind w:firstLine="720"/>
        <w:rPr>
          <w:rFonts w:ascii="Courier New" w:hAnsi="Courier New"/>
        </w:rPr>
      </w:pPr>
    </w:p>
    <w:p w:rsidR="00152A00" w:rsidRDefault="00152A00" w:rsidP="00E41A2F">
      <w:pPr>
        <w:spacing w:line="480" w:lineRule="auto"/>
        <w:ind w:firstLine="720"/>
        <w:rPr>
          <w:rFonts w:ascii="Courier New" w:hAnsi="Courier New"/>
        </w:rPr>
      </w:pPr>
    </w:p>
    <w:p w:rsidR="003571F3" w:rsidRPr="007712A3" w:rsidRDefault="00A70421" w:rsidP="00007E72">
      <w:pPr>
        <w:spacing w:line="480" w:lineRule="auto"/>
        <w:jc w:val="center"/>
        <w:rPr>
          <w:rFonts w:ascii="Courier New" w:hAnsi="Courier New"/>
        </w:rPr>
      </w:pPr>
      <w:r>
        <w:rPr>
          <w:rFonts w:ascii="Courier New" w:hAnsi="Courier New"/>
        </w:rPr>
        <w:t>6</w:t>
      </w:r>
    </w:p>
    <w:sectPr w:rsidR="003571F3" w:rsidRPr="007712A3" w:rsidSect="00975C1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2C8"/>
    <w:multiLevelType w:val="hybridMultilevel"/>
    <w:tmpl w:val="C0CA76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31B0F"/>
    <w:multiLevelType w:val="hybridMultilevel"/>
    <w:tmpl w:val="31864A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36D1D"/>
    <w:multiLevelType w:val="hybridMultilevel"/>
    <w:tmpl w:val="0498BB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4259A7"/>
    <w:multiLevelType w:val="hybridMultilevel"/>
    <w:tmpl w:val="408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62BA6"/>
    <w:multiLevelType w:val="hybridMultilevel"/>
    <w:tmpl w:val="73C2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294E60"/>
    <w:multiLevelType w:val="multilevel"/>
    <w:tmpl w:val="91865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286FC1"/>
    <w:multiLevelType w:val="hybridMultilevel"/>
    <w:tmpl w:val="0498BB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812223"/>
    <w:multiLevelType w:val="hybridMultilevel"/>
    <w:tmpl w:val="51E085BA"/>
    <w:lvl w:ilvl="0" w:tplc="3F368E1C">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o:shapedefaults>
  </w:hdrShapeDefaults>
  <w:compat>
    <w:doNotAutofitConstrainedTables/>
    <w:splitPgBreakAndParaMark/>
    <w:doNotVertAlignCellWithSp/>
    <w:doNotBreakConstrainedForcedTable/>
    <w:useAnsiKerningPairs/>
    <w:cachedColBalance/>
  </w:compat>
  <w:rsids>
    <w:rsidRoot w:val="00731658"/>
    <w:rsid w:val="00001BA3"/>
    <w:rsid w:val="00007E72"/>
    <w:rsid w:val="00007F00"/>
    <w:rsid w:val="00016913"/>
    <w:rsid w:val="000465C0"/>
    <w:rsid w:val="000675C6"/>
    <w:rsid w:val="00072F89"/>
    <w:rsid w:val="000A3E49"/>
    <w:rsid w:val="000A4BA5"/>
    <w:rsid w:val="00131F3C"/>
    <w:rsid w:val="001523AC"/>
    <w:rsid w:val="00152A00"/>
    <w:rsid w:val="001609AA"/>
    <w:rsid w:val="001618DB"/>
    <w:rsid w:val="00181FC7"/>
    <w:rsid w:val="00193FC0"/>
    <w:rsid w:val="001A1711"/>
    <w:rsid w:val="001B7448"/>
    <w:rsid w:val="001F7D5B"/>
    <w:rsid w:val="00206913"/>
    <w:rsid w:val="0022206C"/>
    <w:rsid w:val="002B155C"/>
    <w:rsid w:val="003545ED"/>
    <w:rsid w:val="003571F3"/>
    <w:rsid w:val="00372EAB"/>
    <w:rsid w:val="00374992"/>
    <w:rsid w:val="003D50D7"/>
    <w:rsid w:val="003F6F77"/>
    <w:rsid w:val="005050D1"/>
    <w:rsid w:val="0051137D"/>
    <w:rsid w:val="00522B04"/>
    <w:rsid w:val="0054312A"/>
    <w:rsid w:val="00566ACD"/>
    <w:rsid w:val="00645A44"/>
    <w:rsid w:val="006C0F38"/>
    <w:rsid w:val="006C1D49"/>
    <w:rsid w:val="006D1ADE"/>
    <w:rsid w:val="006D21B5"/>
    <w:rsid w:val="00731658"/>
    <w:rsid w:val="00745009"/>
    <w:rsid w:val="007712A3"/>
    <w:rsid w:val="0078479D"/>
    <w:rsid w:val="0078754A"/>
    <w:rsid w:val="007B49E3"/>
    <w:rsid w:val="007E3A6A"/>
    <w:rsid w:val="00804326"/>
    <w:rsid w:val="008A0804"/>
    <w:rsid w:val="008F369D"/>
    <w:rsid w:val="0091303B"/>
    <w:rsid w:val="00975C17"/>
    <w:rsid w:val="00986207"/>
    <w:rsid w:val="00991E86"/>
    <w:rsid w:val="00992E2E"/>
    <w:rsid w:val="009978CF"/>
    <w:rsid w:val="009B03E6"/>
    <w:rsid w:val="009E6382"/>
    <w:rsid w:val="00A041E1"/>
    <w:rsid w:val="00A12E7E"/>
    <w:rsid w:val="00A269A7"/>
    <w:rsid w:val="00A70421"/>
    <w:rsid w:val="00A7088F"/>
    <w:rsid w:val="00A90959"/>
    <w:rsid w:val="00AA672C"/>
    <w:rsid w:val="00AB06B6"/>
    <w:rsid w:val="00AE138A"/>
    <w:rsid w:val="00AF7A21"/>
    <w:rsid w:val="00B64224"/>
    <w:rsid w:val="00BA634F"/>
    <w:rsid w:val="00BB14F6"/>
    <w:rsid w:val="00BB2DD8"/>
    <w:rsid w:val="00C14EA7"/>
    <w:rsid w:val="00C21C84"/>
    <w:rsid w:val="00C52382"/>
    <w:rsid w:val="00C53763"/>
    <w:rsid w:val="00C754F1"/>
    <w:rsid w:val="00C841CE"/>
    <w:rsid w:val="00C9714A"/>
    <w:rsid w:val="00CC49B9"/>
    <w:rsid w:val="00CD178C"/>
    <w:rsid w:val="00CD5C49"/>
    <w:rsid w:val="00CF3463"/>
    <w:rsid w:val="00D12D2F"/>
    <w:rsid w:val="00D25C86"/>
    <w:rsid w:val="00DA08DA"/>
    <w:rsid w:val="00E41A2F"/>
    <w:rsid w:val="00E6411A"/>
    <w:rsid w:val="00EA2A9A"/>
    <w:rsid w:val="00EC567C"/>
    <w:rsid w:val="00ED61C7"/>
    <w:rsid w:val="00ED67B5"/>
    <w:rsid w:val="00F30328"/>
    <w:rsid w:val="00F40188"/>
    <w:rsid w:val="00F436DB"/>
    <w:rsid w:val="00F45C16"/>
    <w:rsid w:val="00F80B8D"/>
    <w:rsid w:val="00FE77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27885"/>
  </w:style>
  <w:style w:type="paragraph" w:styleId="Heading1">
    <w:name w:val="heading 1"/>
    <w:basedOn w:val="Normal"/>
    <w:next w:val="Normal"/>
    <w:link w:val="Heading1Char"/>
    <w:uiPriority w:val="9"/>
    <w:qFormat/>
    <w:rsid w:val="00975C1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uiPriority w:val="39"/>
    <w:semiHidden/>
    <w:unhideWhenUsed/>
    <w:rsid w:val="00731658"/>
    <w:pPr>
      <w:spacing w:before="120" w:after="0"/>
    </w:pPr>
    <w:rPr>
      <w:b/>
    </w:rPr>
  </w:style>
  <w:style w:type="paragraph" w:styleId="TOC2">
    <w:name w:val="toc 2"/>
    <w:basedOn w:val="Normal"/>
    <w:next w:val="Normal"/>
    <w:autoRedefine/>
    <w:uiPriority w:val="39"/>
    <w:semiHidden/>
    <w:unhideWhenUsed/>
    <w:rsid w:val="00731658"/>
    <w:pPr>
      <w:spacing w:after="0"/>
      <w:ind w:left="240"/>
    </w:pPr>
    <w:rPr>
      <w:b/>
      <w:sz w:val="22"/>
      <w:szCs w:val="22"/>
    </w:rPr>
  </w:style>
  <w:style w:type="paragraph" w:styleId="TOC3">
    <w:name w:val="toc 3"/>
    <w:basedOn w:val="Normal"/>
    <w:next w:val="Normal"/>
    <w:autoRedefine/>
    <w:uiPriority w:val="39"/>
    <w:semiHidden/>
    <w:unhideWhenUsed/>
    <w:rsid w:val="00731658"/>
    <w:pPr>
      <w:spacing w:after="0"/>
      <w:ind w:left="480"/>
    </w:pPr>
    <w:rPr>
      <w:sz w:val="22"/>
      <w:szCs w:val="22"/>
    </w:rPr>
  </w:style>
  <w:style w:type="paragraph" w:styleId="TOC4">
    <w:name w:val="toc 4"/>
    <w:basedOn w:val="Normal"/>
    <w:next w:val="Normal"/>
    <w:autoRedefine/>
    <w:uiPriority w:val="39"/>
    <w:semiHidden/>
    <w:unhideWhenUsed/>
    <w:rsid w:val="00731658"/>
    <w:pPr>
      <w:spacing w:after="0"/>
      <w:ind w:left="720"/>
    </w:pPr>
    <w:rPr>
      <w:sz w:val="20"/>
      <w:szCs w:val="20"/>
    </w:rPr>
  </w:style>
  <w:style w:type="paragraph" w:styleId="TOC5">
    <w:name w:val="toc 5"/>
    <w:basedOn w:val="Normal"/>
    <w:next w:val="Normal"/>
    <w:autoRedefine/>
    <w:uiPriority w:val="39"/>
    <w:semiHidden/>
    <w:unhideWhenUsed/>
    <w:rsid w:val="00731658"/>
    <w:pPr>
      <w:spacing w:after="0"/>
      <w:ind w:left="960"/>
    </w:pPr>
    <w:rPr>
      <w:sz w:val="20"/>
      <w:szCs w:val="20"/>
    </w:rPr>
  </w:style>
  <w:style w:type="paragraph" w:styleId="TOC6">
    <w:name w:val="toc 6"/>
    <w:basedOn w:val="Normal"/>
    <w:next w:val="Normal"/>
    <w:autoRedefine/>
    <w:uiPriority w:val="39"/>
    <w:semiHidden/>
    <w:unhideWhenUsed/>
    <w:rsid w:val="00731658"/>
    <w:pPr>
      <w:spacing w:after="0"/>
      <w:ind w:left="1200"/>
    </w:pPr>
    <w:rPr>
      <w:sz w:val="20"/>
      <w:szCs w:val="20"/>
    </w:rPr>
  </w:style>
  <w:style w:type="paragraph" w:styleId="TOC7">
    <w:name w:val="toc 7"/>
    <w:basedOn w:val="Normal"/>
    <w:next w:val="Normal"/>
    <w:autoRedefine/>
    <w:uiPriority w:val="39"/>
    <w:semiHidden/>
    <w:unhideWhenUsed/>
    <w:rsid w:val="00731658"/>
    <w:pPr>
      <w:spacing w:after="0"/>
      <w:ind w:left="1440"/>
    </w:pPr>
    <w:rPr>
      <w:sz w:val="20"/>
      <w:szCs w:val="20"/>
    </w:rPr>
  </w:style>
  <w:style w:type="paragraph" w:styleId="TOC8">
    <w:name w:val="toc 8"/>
    <w:basedOn w:val="Normal"/>
    <w:next w:val="Normal"/>
    <w:autoRedefine/>
    <w:uiPriority w:val="39"/>
    <w:semiHidden/>
    <w:unhideWhenUsed/>
    <w:rsid w:val="00731658"/>
    <w:pPr>
      <w:spacing w:after="0"/>
      <w:ind w:left="1680"/>
    </w:pPr>
    <w:rPr>
      <w:sz w:val="20"/>
      <w:szCs w:val="20"/>
    </w:rPr>
  </w:style>
  <w:style w:type="paragraph" w:styleId="TOC9">
    <w:name w:val="toc 9"/>
    <w:basedOn w:val="Normal"/>
    <w:next w:val="Normal"/>
    <w:autoRedefine/>
    <w:uiPriority w:val="39"/>
    <w:semiHidden/>
    <w:unhideWhenUsed/>
    <w:rsid w:val="00731658"/>
    <w:pPr>
      <w:spacing w:after="0"/>
      <w:ind w:left="1920"/>
    </w:pPr>
    <w:rPr>
      <w:sz w:val="20"/>
      <w:szCs w:val="20"/>
    </w:rPr>
  </w:style>
  <w:style w:type="paragraph" w:styleId="Header">
    <w:name w:val="header"/>
    <w:basedOn w:val="Normal"/>
    <w:link w:val="HeaderChar"/>
    <w:uiPriority w:val="99"/>
    <w:semiHidden/>
    <w:unhideWhenUsed/>
    <w:rsid w:val="00731658"/>
    <w:pPr>
      <w:tabs>
        <w:tab w:val="center" w:pos="4320"/>
        <w:tab w:val="right" w:pos="8640"/>
      </w:tabs>
      <w:spacing w:after="0"/>
    </w:pPr>
  </w:style>
  <w:style w:type="character" w:customStyle="1" w:styleId="HeaderChar">
    <w:name w:val="Header Char"/>
    <w:basedOn w:val="DefaultParagraphFont"/>
    <w:link w:val="Header"/>
    <w:uiPriority w:val="99"/>
    <w:semiHidden/>
    <w:rsid w:val="00731658"/>
  </w:style>
  <w:style w:type="paragraph" w:styleId="Footer">
    <w:name w:val="footer"/>
    <w:basedOn w:val="Normal"/>
    <w:link w:val="FooterChar"/>
    <w:uiPriority w:val="99"/>
    <w:semiHidden/>
    <w:unhideWhenUsed/>
    <w:rsid w:val="00731658"/>
    <w:pPr>
      <w:tabs>
        <w:tab w:val="center" w:pos="4320"/>
        <w:tab w:val="right" w:pos="8640"/>
      </w:tabs>
      <w:spacing w:after="0"/>
    </w:pPr>
  </w:style>
  <w:style w:type="character" w:customStyle="1" w:styleId="FooterChar">
    <w:name w:val="Footer Char"/>
    <w:basedOn w:val="DefaultParagraphFont"/>
    <w:link w:val="Footer"/>
    <w:uiPriority w:val="99"/>
    <w:semiHidden/>
    <w:rsid w:val="00731658"/>
  </w:style>
  <w:style w:type="paragraph" w:styleId="NoSpacing">
    <w:name w:val="No Spacing"/>
    <w:link w:val="NoSpacingChar"/>
    <w:qFormat/>
    <w:rsid w:val="00975C17"/>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975C17"/>
    <w:rPr>
      <w:rFonts w:ascii="PMingLiU" w:eastAsiaTheme="minorEastAsia" w:hAnsi="PMingLiU"/>
      <w:sz w:val="22"/>
      <w:szCs w:val="22"/>
    </w:rPr>
  </w:style>
  <w:style w:type="character" w:customStyle="1" w:styleId="Heading1Char">
    <w:name w:val="Heading 1 Char"/>
    <w:basedOn w:val="DefaultParagraphFont"/>
    <w:link w:val="Heading1"/>
    <w:uiPriority w:val="9"/>
    <w:rsid w:val="00975C1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75C17"/>
    <w:pPr>
      <w:spacing w:line="276" w:lineRule="auto"/>
      <w:outlineLvl w:val="9"/>
    </w:pPr>
    <w:rPr>
      <w:color w:val="365F91" w:themeColor="accent1" w:themeShade="BF"/>
      <w:sz w:val="28"/>
      <w:szCs w:val="28"/>
    </w:rPr>
  </w:style>
  <w:style w:type="paragraph" w:styleId="DocumentMap">
    <w:name w:val="Document Map"/>
    <w:basedOn w:val="Normal"/>
    <w:link w:val="DocumentMapChar"/>
    <w:uiPriority w:val="99"/>
    <w:semiHidden/>
    <w:unhideWhenUsed/>
    <w:rsid w:val="00C53763"/>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C53763"/>
    <w:rPr>
      <w:rFonts w:ascii="Lucida Grande" w:hAnsi="Lucida Grande"/>
    </w:rPr>
  </w:style>
  <w:style w:type="paragraph" w:styleId="ListParagraph">
    <w:name w:val="List Paragraph"/>
    <w:basedOn w:val="Normal"/>
    <w:uiPriority w:val="34"/>
    <w:qFormat/>
    <w:rsid w:val="008F369D"/>
    <w:pPr>
      <w:ind w:left="720"/>
      <w:contextualSpacing/>
    </w:pPr>
  </w:style>
  <w:style w:type="paragraph" w:styleId="CommentText">
    <w:name w:val="annotation text"/>
    <w:basedOn w:val="Normal"/>
    <w:link w:val="CommentTextChar"/>
    <w:rsid w:val="00A12E7E"/>
  </w:style>
  <w:style w:type="character" w:customStyle="1" w:styleId="CommentTextChar">
    <w:name w:val="Comment Text Char"/>
    <w:basedOn w:val="DefaultParagraphFont"/>
    <w:link w:val="CommentText"/>
    <w:rsid w:val="00A12E7E"/>
  </w:style>
  <w:style w:type="character" w:styleId="CommentReference">
    <w:name w:val="annotation reference"/>
    <w:basedOn w:val="DefaultParagraphFont"/>
    <w:uiPriority w:val="99"/>
    <w:unhideWhenUsed/>
    <w:rsid w:val="00A12E7E"/>
    <w:rPr>
      <w:sz w:val="16"/>
      <w:szCs w:val="16"/>
    </w:rPr>
  </w:style>
  <w:style w:type="paragraph" w:styleId="BalloonText">
    <w:name w:val="Balloon Text"/>
    <w:basedOn w:val="Normal"/>
    <w:link w:val="BalloonTextChar"/>
    <w:rsid w:val="00A12E7E"/>
    <w:pPr>
      <w:spacing w:after="0"/>
    </w:pPr>
    <w:rPr>
      <w:rFonts w:ascii="Lucida Grande" w:hAnsi="Lucida Grande"/>
      <w:sz w:val="18"/>
      <w:szCs w:val="18"/>
    </w:rPr>
  </w:style>
  <w:style w:type="character" w:customStyle="1" w:styleId="BalloonTextChar">
    <w:name w:val="Balloon Text Char"/>
    <w:basedOn w:val="DefaultParagraphFont"/>
    <w:link w:val="BalloonText"/>
    <w:rsid w:val="00A12E7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3923-2B13-0046-9C70-31D23B2D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1036</Words>
  <Characters>5908</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christine graham</cp:lastModifiedBy>
  <cp:revision>71</cp:revision>
  <dcterms:created xsi:type="dcterms:W3CDTF">2014-05-06T19:36:00Z</dcterms:created>
  <dcterms:modified xsi:type="dcterms:W3CDTF">2014-05-14T17:42:00Z</dcterms:modified>
</cp:coreProperties>
</file>